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黑体"/>
          <w:b/>
          <w:sz w:val="36"/>
          <w:szCs w:val="36"/>
          <w:lang w:eastAsia="zh-CN"/>
        </w:rPr>
      </w:pPr>
      <w:r>
        <w:rPr>
          <w:rFonts w:hint="eastAsia" w:ascii="Times New Roman" w:hAnsi="Times New Roman" w:eastAsia="黑体"/>
          <w:b/>
          <w:sz w:val="36"/>
          <w:szCs w:val="36"/>
          <w:lang w:eastAsia="zh-CN"/>
        </w:rPr>
        <w:t>国家外汇管理局镇江市中心支局</w:t>
      </w:r>
    </w:p>
    <w:p>
      <w:pPr>
        <w:spacing w:line="360" w:lineRule="auto"/>
        <w:jc w:val="center"/>
        <w:rPr>
          <w:rFonts w:hint="eastAsia" w:ascii="Times New Roman" w:hAnsi="Times New Roman" w:eastAsia="黑体"/>
          <w:b/>
          <w:sz w:val="36"/>
          <w:szCs w:val="36"/>
          <w:lang w:eastAsia="zh-CN"/>
        </w:rPr>
      </w:pPr>
      <w:r>
        <w:rPr>
          <w:rFonts w:hint="eastAsia" w:ascii="Times New Roman" w:hAnsi="Times New Roman" w:eastAsia="黑体"/>
          <w:b/>
          <w:sz w:val="36"/>
          <w:szCs w:val="36"/>
          <w:lang w:val="en-US" w:eastAsia="zh-CN"/>
        </w:rPr>
        <w:t>2022年度</w:t>
      </w:r>
      <w:r>
        <w:rPr>
          <w:rFonts w:hint="eastAsia" w:ascii="Times New Roman" w:hAnsi="Times New Roman" w:eastAsia="黑体"/>
          <w:b/>
          <w:sz w:val="36"/>
          <w:szCs w:val="36"/>
          <w:lang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根据《中华人民共和国政府信息公开条例》（以下简称《条例》）和《国务院办公厅政府信息与政务公开办公室关于印发&lt;中华人民共和国政府信息公开工作年度报告格式&gt;的通知》（国办公开办函〔2021〕30号）</w:t>
      </w:r>
      <w:r>
        <w:rPr>
          <w:rFonts w:hint="eastAsia" w:ascii="仿宋" w:hAnsi="仿宋" w:eastAsia="仿宋" w:cs="仿宋"/>
          <w:snapToGrid/>
          <w:sz w:val="30"/>
          <w:szCs w:val="30"/>
        </w:rPr>
        <w:t>要求，</w:t>
      </w:r>
      <w:r>
        <w:rPr>
          <w:rFonts w:hint="eastAsia" w:ascii="仿宋" w:hAnsi="仿宋" w:eastAsia="仿宋" w:cs="仿宋"/>
          <w:sz w:val="30"/>
          <w:szCs w:val="30"/>
        </w:rPr>
        <w:t>特公布</w:t>
      </w:r>
      <w:r>
        <w:rPr>
          <w:rFonts w:hint="eastAsia" w:ascii="仿宋" w:hAnsi="仿宋" w:eastAsia="仿宋" w:cs="仿宋"/>
          <w:sz w:val="30"/>
          <w:szCs w:val="30"/>
          <w:lang w:eastAsia="zh-CN"/>
        </w:rPr>
        <w:t>国家外汇管理局</w:t>
      </w:r>
      <w:r>
        <w:rPr>
          <w:rFonts w:hint="eastAsia" w:ascii="仿宋" w:hAnsi="仿宋" w:eastAsia="仿宋" w:cs="仿宋"/>
          <w:sz w:val="30"/>
          <w:szCs w:val="30"/>
        </w:rPr>
        <w:t>镇江市中心</w:t>
      </w:r>
      <w:r>
        <w:rPr>
          <w:rFonts w:hint="eastAsia" w:ascii="仿宋" w:hAnsi="仿宋" w:eastAsia="仿宋" w:cs="仿宋"/>
          <w:sz w:val="30"/>
          <w:szCs w:val="30"/>
          <w:lang w:eastAsia="zh-CN"/>
        </w:rPr>
        <w:t>支局本级</w:t>
      </w:r>
      <w:r>
        <w:rPr>
          <w:rFonts w:hint="eastAsia" w:ascii="仿宋" w:hAnsi="仿宋" w:eastAsia="仿宋" w:cs="仿宋"/>
          <w:sz w:val="30"/>
          <w:szCs w:val="30"/>
        </w:rPr>
        <w:t>20</w:t>
      </w:r>
      <w:r>
        <w:rPr>
          <w:rFonts w:hint="eastAsia" w:ascii="仿宋" w:hAnsi="仿宋" w:eastAsia="仿宋" w:cs="仿宋"/>
          <w:sz w:val="30"/>
          <w:szCs w:val="30"/>
          <w:lang w:val="en-US" w:eastAsia="zh-CN"/>
        </w:rPr>
        <w:t>22</w:t>
      </w:r>
      <w:bookmarkStart w:id="0" w:name="_GoBack"/>
      <w:bookmarkEnd w:id="0"/>
      <w:r>
        <w:rPr>
          <w:rFonts w:hint="eastAsia" w:ascii="仿宋" w:hAnsi="仿宋" w:eastAsia="仿宋" w:cs="仿宋"/>
          <w:sz w:val="30"/>
          <w:szCs w:val="30"/>
        </w:rPr>
        <w:t>年</w:t>
      </w:r>
      <w:r>
        <w:rPr>
          <w:rFonts w:hint="eastAsia" w:ascii="仿宋" w:hAnsi="仿宋" w:eastAsia="仿宋" w:cs="仿宋"/>
          <w:sz w:val="30"/>
          <w:szCs w:val="30"/>
          <w:lang w:eastAsia="zh-CN"/>
        </w:rPr>
        <w:t>度</w:t>
      </w:r>
      <w:r>
        <w:rPr>
          <w:rFonts w:hint="eastAsia" w:ascii="仿宋" w:hAnsi="仿宋" w:eastAsia="仿宋" w:cs="仿宋"/>
          <w:sz w:val="30"/>
          <w:szCs w:val="30"/>
        </w:rPr>
        <w:t>政府信息公开工作报告</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jc w:val="both"/>
        <w:textAlignment w:val="auto"/>
        <w:outlineLvl w:val="9"/>
        <w:rPr>
          <w:rFonts w:hint="eastAsia" w:ascii="仿宋" w:hAnsi="仿宋" w:eastAsia="仿宋" w:cs="仿宋"/>
          <w:sz w:val="30"/>
          <w:szCs w:val="30"/>
          <w:highlight w:val="none"/>
        </w:rPr>
      </w:pPr>
      <w:r>
        <w:rPr>
          <w:rFonts w:hint="eastAsia" w:ascii="仿宋" w:hAnsi="仿宋" w:eastAsia="仿宋" w:cs="仿宋"/>
          <w:snapToGrid/>
          <w:sz w:val="30"/>
          <w:szCs w:val="30"/>
        </w:rPr>
        <w:t>本报告由总体情况、主动公开政府信息情况、收到和处理政府信息公开申请情况、政府信息公开行政复议</w:t>
      </w:r>
      <w:r>
        <w:rPr>
          <w:rFonts w:hint="eastAsia" w:ascii="仿宋" w:hAnsi="仿宋" w:eastAsia="仿宋" w:cs="仿宋"/>
          <w:snapToGrid/>
          <w:sz w:val="30"/>
          <w:szCs w:val="30"/>
          <w:lang w:eastAsia="zh-CN"/>
        </w:rPr>
        <w:t>和</w:t>
      </w:r>
      <w:r>
        <w:rPr>
          <w:rFonts w:hint="eastAsia" w:ascii="仿宋" w:hAnsi="仿宋" w:eastAsia="仿宋" w:cs="仿宋"/>
          <w:snapToGrid/>
          <w:sz w:val="30"/>
          <w:szCs w:val="30"/>
        </w:rPr>
        <w:t>行政诉讼情况、存在的主要问题及改进情况、其他需要报告的事项六部分组成。本报告中数据的统计期限</w:t>
      </w:r>
      <w:r>
        <w:rPr>
          <w:rFonts w:hint="eastAsia" w:ascii="仿宋" w:hAnsi="仿宋" w:eastAsia="仿宋" w:cs="仿宋"/>
          <w:snapToGrid/>
          <w:sz w:val="30"/>
          <w:szCs w:val="30"/>
          <w:lang w:eastAsia="zh-CN"/>
        </w:rPr>
        <w:t>为</w:t>
      </w:r>
      <w:r>
        <w:rPr>
          <w:rFonts w:hint="eastAsia" w:ascii="仿宋" w:hAnsi="仿宋" w:eastAsia="仿宋" w:cs="仿宋"/>
          <w:snapToGrid/>
          <w:sz w:val="30"/>
          <w:szCs w:val="30"/>
        </w:rPr>
        <w:t>202</w:t>
      </w:r>
      <w:r>
        <w:rPr>
          <w:rFonts w:hint="eastAsia" w:ascii="仿宋" w:hAnsi="仿宋" w:eastAsia="仿宋" w:cs="仿宋"/>
          <w:snapToGrid/>
          <w:sz w:val="30"/>
          <w:szCs w:val="30"/>
          <w:lang w:val="en-US" w:eastAsia="zh-CN"/>
        </w:rPr>
        <w:t>2</w:t>
      </w:r>
      <w:r>
        <w:rPr>
          <w:rFonts w:hint="eastAsia" w:ascii="仿宋" w:hAnsi="仿宋" w:eastAsia="仿宋" w:cs="仿宋"/>
          <w:snapToGrid/>
          <w:sz w:val="30"/>
          <w:szCs w:val="30"/>
        </w:rPr>
        <w:t>年</w:t>
      </w:r>
      <w:r>
        <w:rPr>
          <w:rFonts w:hint="eastAsia" w:ascii="仿宋" w:hAnsi="仿宋" w:eastAsia="仿宋" w:cs="仿宋"/>
          <w:snapToGrid/>
          <w:sz w:val="30"/>
          <w:szCs w:val="30"/>
          <w:lang w:val="en-US" w:eastAsia="zh-CN"/>
        </w:rPr>
        <w:t>1</w:t>
      </w:r>
      <w:r>
        <w:rPr>
          <w:rFonts w:hint="eastAsia" w:ascii="仿宋" w:hAnsi="仿宋" w:eastAsia="仿宋" w:cs="仿宋"/>
          <w:snapToGrid/>
          <w:sz w:val="30"/>
          <w:szCs w:val="30"/>
        </w:rPr>
        <w:t>月1日起至202</w:t>
      </w:r>
      <w:r>
        <w:rPr>
          <w:rFonts w:hint="eastAsia" w:ascii="仿宋" w:hAnsi="仿宋" w:eastAsia="仿宋" w:cs="仿宋"/>
          <w:snapToGrid/>
          <w:sz w:val="30"/>
          <w:szCs w:val="30"/>
          <w:lang w:val="en-US" w:eastAsia="zh-CN"/>
        </w:rPr>
        <w:t>2</w:t>
      </w:r>
      <w:r>
        <w:rPr>
          <w:rFonts w:hint="eastAsia" w:ascii="仿宋" w:hAnsi="仿宋" w:eastAsia="仿宋" w:cs="仿宋"/>
          <w:snapToGrid/>
          <w:sz w:val="30"/>
          <w:szCs w:val="30"/>
        </w:rPr>
        <w:t>年12月31日止。</w:t>
      </w:r>
      <w:r>
        <w:rPr>
          <w:rFonts w:hint="eastAsia" w:ascii="仿宋" w:hAnsi="仿宋" w:eastAsia="仿宋" w:cs="仿宋"/>
          <w:sz w:val="30"/>
          <w:szCs w:val="30"/>
        </w:rPr>
        <w:t>本报告可在</w:t>
      </w:r>
      <w:r>
        <w:rPr>
          <w:rFonts w:hint="eastAsia" w:ascii="仿宋" w:hAnsi="仿宋" w:eastAsia="仿宋" w:cs="仿宋"/>
          <w:sz w:val="30"/>
          <w:szCs w:val="30"/>
          <w:lang w:eastAsia="zh-CN"/>
        </w:rPr>
        <w:t>今日镇江</w:t>
      </w:r>
      <w:r>
        <w:rPr>
          <w:rFonts w:hint="eastAsia" w:ascii="仿宋" w:hAnsi="仿宋" w:eastAsia="仿宋" w:cs="仿宋"/>
          <w:sz w:val="32"/>
          <w:szCs w:val="32"/>
          <w:highlight w:val="none"/>
          <w:lang w:val="en-US" w:eastAsia="zh-CN"/>
        </w:rPr>
        <w:t>网站</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http://www.cmstop.zt.jsw.com.cn</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财经频道</w:t>
      </w:r>
      <w:r>
        <w:rPr>
          <w:rFonts w:hint="eastAsia" w:ascii="仿宋" w:hAnsi="仿宋" w:eastAsia="仿宋" w:cs="仿宋"/>
          <w:color w:val="auto"/>
          <w:sz w:val="32"/>
          <w:szCs w:val="32"/>
          <w:highlight w:val="none"/>
        </w:rPr>
        <w:t>”子</w:t>
      </w:r>
      <w:r>
        <w:rPr>
          <w:rFonts w:hint="eastAsia" w:ascii="仿宋" w:hAnsi="仿宋" w:eastAsia="仿宋" w:cs="仿宋"/>
          <w:color w:val="auto"/>
          <w:sz w:val="32"/>
          <w:szCs w:val="32"/>
          <w:highlight w:val="none"/>
          <w:lang w:eastAsia="zh-CN"/>
        </w:rPr>
        <w:t>栏目下载。</w:t>
      </w:r>
    </w:p>
    <w:p>
      <w:pPr>
        <w:ind w:firstLine="640" w:firstLineChars="200"/>
        <w:rPr>
          <w:rFonts w:hint="eastAsia" w:ascii="黑体" w:hAnsi="黑体" w:eastAsia="黑体"/>
          <w:sz w:val="32"/>
        </w:rPr>
      </w:pPr>
      <w:r>
        <w:rPr>
          <w:rFonts w:hint="eastAsia" w:ascii="黑体" w:hAnsi="黑体" w:eastAsia="黑体"/>
          <w:sz w:val="32"/>
        </w:rPr>
        <w:t>一、总体情况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jc w:val="both"/>
        <w:textAlignment w:val="auto"/>
        <w:outlineLvl w:val="9"/>
        <w:rPr>
          <w:rFonts w:hint="eastAsia" w:ascii="仿宋" w:hAnsi="仿宋" w:eastAsia="仿宋" w:cs="仿宋"/>
          <w:w w:val="100"/>
          <w:sz w:val="30"/>
          <w:szCs w:val="30"/>
          <w:lang w:val="en-US" w:eastAsia="zh-CN"/>
        </w:rPr>
      </w:pPr>
      <w:r>
        <w:rPr>
          <w:rFonts w:hint="eastAsia" w:ascii="仿宋" w:hAnsi="仿宋" w:eastAsia="仿宋" w:cs="仿宋"/>
          <w:sz w:val="30"/>
          <w:szCs w:val="30"/>
          <w:lang w:val="en-US" w:eastAsia="zh-CN"/>
        </w:rPr>
        <w:t>2022年，国家外汇管理局镇江市中心支局坚持以习近平新时代中国特色社会主义思想为指导，坚决贯彻落实党中央、国务院和总、分局关于政务公开的决策部署，认真落实</w:t>
      </w:r>
      <w:r>
        <w:rPr>
          <w:rFonts w:hint="eastAsia" w:ascii="仿宋" w:hAnsi="仿宋" w:eastAsia="仿宋" w:cs="仿宋"/>
          <w:sz w:val="30"/>
          <w:szCs w:val="30"/>
        </w:rPr>
        <w:t>《条例》</w:t>
      </w:r>
      <w:r>
        <w:rPr>
          <w:rFonts w:hint="eastAsia" w:ascii="仿宋" w:hAnsi="仿宋" w:eastAsia="仿宋" w:cs="仿宋"/>
          <w:sz w:val="30"/>
          <w:szCs w:val="30"/>
          <w:lang w:eastAsia="zh-CN"/>
        </w:rPr>
        <w:t>要求，</w:t>
      </w:r>
      <w:r>
        <w:rPr>
          <w:rFonts w:hint="eastAsia" w:ascii="仿宋" w:hAnsi="仿宋" w:eastAsia="仿宋" w:cs="仿宋"/>
          <w:w w:val="100"/>
          <w:sz w:val="30"/>
          <w:szCs w:val="30"/>
          <w:lang w:val="en-US" w:eastAsia="zh-CN"/>
        </w:rPr>
        <w:t>坚持以公开透明、依法合规、高效便民为根本宗旨，围绕工作职责，有力推进政府信息公开工作。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sz w:val="32"/>
        </w:rPr>
      </w:pPr>
      <w:r>
        <w:rPr>
          <w:rFonts w:hint="eastAsia" w:ascii="仿宋_GB2312" w:hAnsi="仿宋_GB2312" w:eastAsia="仿宋_GB2312"/>
          <w:sz w:val="30"/>
          <w:szCs w:val="30"/>
          <w:lang w:val="en-US" w:eastAsia="zh-CN"/>
        </w:rPr>
        <w:t>一是强化组织领导。按照统一领导原则，充分发挥</w:t>
      </w:r>
      <w:r>
        <w:rPr>
          <w:rFonts w:hint="eastAsia" w:ascii="仿宋_GB2312" w:hAnsi="仿宋_GB2312" w:eastAsia="仿宋_GB2312" w:cs="仿宋_GB2312"/>
          <w:sz w:val="30"/>
          <w:szCs w:val="30"/>
          <w:lang w:eastAsia="zh-CN"/>
        </w:rPr>
        <w:t>政务公开工作领导小组和</w:t>
      </w:r>
      <w:r>
        <w:rPr>
          <w:rFonts w:hint="eastAsia" w:ascii="仿宋_GB2312" w:hAnsi="仿宋_GB2312" w:eastAsia="仿宋_GB2312" w:cs="仿宋_GB2312"/>
          <w:b w:val="0"/>
          <w:bCs/>
          <w:sz w:val="30"/>
          <w:szCs w:val="30"/>
          <w:lang w:eastAsia="zh-CN"/>
        </w:rPr>
        <w:t>“互联网+政务服务”工作领导小组组织领导作用，明确相关部门、各岗位政府信息公开工作职责。二是强化工作落实。</w:t>
      </w:r>
      <w:r>
        <w:rPr>
          <w:rFonts w:hint="eastAsia" w:ascii="仿宋_GB2312" w:eastAsia="仿宋_GB2312"/>
          <w:kern w:val="0"/>
          <w:sz w:val="30"/>
          <w:szCs w:val="30"/>
        </w:rPr>
        <w:t>完善</w:t>
      </w:r>
      <w:r>
        <w:rPr>
          <w:rFonts w:hint="eastAsia" w:ascii="仿宋_GB2312" w:eastAsia="仿宋_GB2312"/>
          <w:kern w:val="0"/>
          <w:sz w:val="30"/>
          <w:szCs w:val="30"/>
          <w:lang w:eastAsia="zh-CN"/>
        </w:rPr>
        <w:t>政府信息</w:t>
      </w:r>
      <w:r>
        <w:rPr>
          <w:rFonts w:hint="eastAsia" w:ascii="仿宋_GB2312" w:eastAsia="仿宋_GB2312"/>
          <w:kern w:val="0"/>
          <w:sz w:val="30"/>
          <w:szCs w:val="30"/>
        </w:rPr>
        <w:t>公开制度</w:t>
      </w:r>
      <w:r>
        <w:rPr>
          <w:rFonts w:hint="eastAsia" w:ascii="仿宋_GB2312" w:eastAsia="仿宋_GB2312"/>
          <w:kern w:val="0"/>
          <w:sz w:val="30"/>
          <w:szCs w:val="30"/>
          <w:lang w:eastAsia="zh-CN"/>
        </w:rPr>
        <w:t>，</w:t>
      </w:r>
      <w:r>
        <w:rPr>
          <w:rFonts w:hint="eastAsia" w:ascii="仿宋_GB2312" w:hAnsi="仿宋_GB2312" w:eastAsia="仿宋_GB2312" w:cs="仿宋_GB2312"/>
          <w:sz w:val="30"/>
          <w:szCs w:val="30"/>
          <w:lang w:eastAsia="zh-CN"/>
        </w:rPr>
        <w:t>优化</w:t>
      </w:r>
      <w:r>
        <w:rPr>
          <w:rFonts w:hint="eastAsia" w:ascii="仿宋_GB2312" w:hAnsi="仿宋_GB2312" w:eastAsia="仿宋_GB2312" w:cs="仿宋_GB2312"/>
          <w:sz w:val="30"/>
          <w:szCs w:val="30"/>
        </w:rPr>
        <w:t>公开内容</w:t>
      </w:r>
      <w:r>
        <w:rPr>
          <w:rFonts w:hint="eastAsia" w:ascii="仿宋_GB2312" w:hAnsi="仿宋_GB2312" w:eastAsia="仿宋_GB2312" w:cs="仿宋_GB2312"/>
          <w:sz w:val="30"/>
          <w:szCs w:val="30"/>
          <w:lang w:eastAsia="zh-CN"/>
        </w:rPr>
        <w:t>，推进政务服务网上办理，</w:t>
      </w:r>
      <w:r>
        <w:rPr>
          <w:rFonts w:hint="eastAsia" w:ascii="仿宋_GB2312" w:hAnsi="仿宋_GB2312" w:eastAsia="仿宋_GB2312" w:cs="仿宋_GB2312"/>
          <w:sz w:val="30"/>
          <w:szCs w:val="30"/>
        </w:rPr>
        <w:t>依法依规对公开的范围、形式、时限、程序等进行严格审查，严格</w:t>
      </w:r>
      <w:r>
        <w:rPr>
          <w:rFonts w:hint="eastAsia" w:ascii="仿宋_GB2312" w:hAnsi="仿宋_GB2312" w:eastAsia="仿宋_GB2312" w:cs="仿宋_GB2312"/>
          <w:sz w:val="30"/>
          <w:szCs w:val="30"/>
          <w:lang w:eastAsia="zh-CN"/>
        </w:rPr>
        <w:t>执行政务</w:t>
      </w:r>
      <w:r>
        <w:rPr>
          <w:rFonts w:hint="eastAsia" w:ascii="仿宋_GB2312" w:hAnsi="仿宋_GB2312" w:eastAsia="仿宋_GB2312" w:cs="仿宋_GB2312"/>
          <w:sz w:val="30"/>
          <w:szCs w:val="30"/>
        </w:rPr>
        <w:t>公开信息审查工作机制</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b w:val="0"/>
          <w:bCs/>
          <w:sz w:val="30"/>
          <w:szCs w:val="30"/>
          <w:lang w:eastAsia="zh-CN"/>
        </w:rPr>
        <w:t>认真办理“互联网</w:t>
      </w:r>
      <w:r>
        <w:rPr>
          <w:rFonts w:hint="eastAsia" w:ascii="仿宋_GB2312" w:hAnsi="仿宋_GB2312" w:eastAsia="仿宋_GB2312" w:cs="仿宋_GB2312"/>
          <w:b w:val="0"/>
          <w:bCs/>
          <w:sz w:val="30"/>
          <w:szCs w:val="30"/>
          <w:lang w:val="en-US" w:eastAsia="zh-CN"/>
        </w:rPr>
        <w:t>+监管</w:t>
      </w:r>
      <w:r>
        <w:rPr>
          <w:rFonts w:hint="eastAsia" w:ascii="仿宋_GB2312" w:hAnsi="仿宋_GB2312" w:eastAsia="仿宋_GB2312" w:cs="仿宋_GB2312"/>
          <w:b w:val="0"/>
          <w:bCs/>
          <w:sz w:val="30"/>
          <w:szCs w:val="30"/>
          <w:lang w:eastAsia="zh-CN"/>
        </w:rPr>
        <w:t>”事项，</w:t>
      </w:r>
      <w:r>
        <w:rPr>
          <w:rFonts w:hint="eastAsia" w:ascii="仿宋_GB2312" w:hAnsi="仿宋_GB2312" w:eastAsia="仿宋_GB2312" w:cs="仿宋_GB2312"/>
          <w:bCs/>
          <w:sz w:val="30"/>
          <w:szCs w:val="30"/>
          <w:lang w:eastAsia="zh-CN"/>
        </w:rPr>
        <w:t>切实</w:t>
      </w:r>
      <w:r>
        <w:rPr>
          <w:rFonts w:hint="eastAsia" w:ascii="仿宋_GB2312" w:eastAsia="仿宋_GB2312"/>
          <w:kern w:val="0"/>
          <w:sz w:val="30"/>
          <w:szCs w:val="30"/>
        </w:rPr>
        <w:t>做好行政许可、行政处罚权力事项清单和办事指南的日常更新和动态调整工作。</w:t>
      </w:r>
      <w:r>
        <w:rPr>
          <w:rFonts w:hint="eastAsia" w:ascii="仿宋_GB2312" w:eastAsia="仿宋_GB2312"/>
          <w:kern w:val="0"/>
          <w:sz w:val="30"/>
          <w:szCs w:val="30"/>
          <w:lang w:eastAsia="zh-CN"/>
        </w:rPr>
        <w:t>三是做好信息公开。严格按照总、分局信息公开工作制度规定，及时向上一级报送行政许可、行政处罚信息。</w:t>
      </w:r>
      <w:r>
        <w:rPr>
          <w:rFonts w:hint="eastAsia" w:ascii="仿宋_GB2312" w:eastAsia="仿宋_GB2312"/>
          <w:kern w:val="0"/>
          <w:sz w:val="30"/>
          <w:szCs w:val="30"/>
          <w:lang w:val="en-US" w:eastAsia="zh-CN"/>
        </w:rPr>
        <w:t>2022年，本单位共计报送行政许可公开信息248笔，行政处罚公开信息3笔，</w:t>
      </w:r>
      <w:r>
        <w:rPr>
          <w:rFonts w:hint="eastAsia" w:ascii="FangSong_GB2312" w:hAnsi="FangSong_GB2312" w:eastAsia="FangSong_GB2312"/>
          <w:sz w:val="30"/>
        </w:rPr>
        <w:t>未收到依申请公开事项，政务公开工作未引发行政复议或行政诉讼。</w:t>
      </w:r>
    </w:p>
    <w:p>
      <w:pPr>
        <w:spacing w:before="156" w:beforeLines="50"/>
        <w:ind w:firstLine="640" w:firstLineChars="200"/>
        <w:rPr>
          <w:rFonts w:hint="eastAsia" w:ascii="黑体" w:hAnsi="黑体" w:eastAsia="黑体" w:cs="Times New Roman"/>
          <w:sz w:val="32"/>
        </w:rPr>
      </w:pPr>
      <w:r>
        <w:rPr>
          <w:rFonts w:hint="eastAsia" w:ascii="黑体" w:hAnsi="黑体" w:eastAsia="黑体" w:cs="Times New Roman"/>
          <w:sz w:val="32"/>
        </w:rPr>
        <w:t>二、主动公开政府信息情况</w:t>
      </w:r>
    </w:p>
    <w:tbl>
      <w:tblPr>
        <w:tblStyle w:val="2"/>
        <w:tblW w:w="0" w:type="auto"/>
        <w:jc w:val="center"/>
        <w:tblLayout w:type="fixed"/>
        <w:tblCellMar>
          <w:top w:w="0" w:type="dxa"/>
          <w:left w:w="108" w:type="dxa"/>
          <w:bottom w:w="0" w:type="dxa"/>
          <w:right w:w="108" w:type="dxa"/>
        </w:tblCellMar>
      </w:tblPr>
      <w:tblGrid>
        <w:gridCol w:w="2857"/>
        <w:gridCol w:w="2110"/>
        <w:gridCol w:w="1566"/>
        <w:gridCol w:w="1881"/>
      </w:tblGrid>
      <w:tr>
        <w:tblPrEx>
          <w:tblCellMar>
            <w:top w:w="0" w:type="dxa"/>
            <w:left w:w="108" w:type="dxa"/>
            <w:bottom w:w="0" w:type="dxa"/>
            <w:right w:w="108" w:type="dxa"/>
          </w:tblCellMar>
        </w:tblPrEx>
        <w:trPr>
          <w:trHeight w:val="397" w:hRule="atLeast"/>
          <w:jc w:val="center"/>
        </w:trPr>
        <w:tc>
          <w:tcPr>
            <w:tcW w:w="841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Times New Roman"/>
                <w:color w:val="333333"/>
                <w:sz w:val="24"/>
              </w:rPr>
            </w:pPr>
            <w:r>
              <w:rPr>
                <w:rFonts w:hint="eastAsia" w:cs="Times New Roman"/>
                <w:color w:val="000000"/>
                <w:sz w:val="20"/>
              </w:rPr>
              <w:t>第二十条第（一）项</w:t>
            </w:r>
          </w:p>
        </w:tc>
      </w:tr>
      <w:tr>
        <w:tblPrEx>
          <w:tblCellMar>
            <w:top w:w="0" w:type="dxa"/>
            <w:left w:w="108" w:type="dxa"/>
            <w:bottom w:w="0" w:type="dxa"/>
            <w:right w:w="108" w:type="dxa"/>
          </w:tblCellMar>
        </w:tblPrEx>
        <w:trPr>
          <w:trHeight w:val="682" w:hRule="atLeast"/>
          <w:jc w:val="center"/>
        </w:trPr>
        <w:tc>
          <w:tcPr>
            <w:tcW w:w="2857" w:type="dxa"/>
            <w:tcBorders>
              <w:top w:val="nil"/>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Times New Roman"/>
                <w:color w:val="333333"/>
                <w:sz w:val="24"/>
              </w:rPr>
            </w:pPr>
            <w:r>
              <w:rPr>
                <w:rFonts w:hint="eastAsia" w:cs="Times New Roman"/>
                <w:color w:val="000000"/>
                <w:sz w:val="20"/>
              </w:rPr>
              <w:t>信息内容</w:t>
            </w:r>
          </w:p>
        </w:tc>
        <w:tc>
          <w:tcPr>
            <w:tcW w:w="2110" w:type="dxa"/>
            <w:tcBorders>
              <w:top w:val="single" w:color="auto" w:sz="4" w:space="0"/>
              <w:left w:val="nil"/>
              <w:bottom w:val="single" w:color="auto" w:sz="4" w:space="0"/>
              <w:right w:val="single" w:color="auto" w:sz="4" w:space="0"/>
            </w:tcBorders>
            <w:noWrap w:val="0"/>
            <w:vAlign w:val="center"/>
          </w:tcPr>
          <w:p>
            <w:pPr>
              <w:jc w:val="center"/>
              <w:rPr>
                <w:rFonts w:ascii="宋体" w:hAnsi="宋体" w:cs="Times New Roman"/>
                <w:color w:val="333333"/>
                <w:sz w:val="24"/>
              </w:rPr>
            </w:pPr>
            <w:r>
              <w:rPr>
                <w:rFonts w:hint="eastAsia" w:cs="Times New Roman"/>
                <w:color w:val="000000"/>
                <w:sz w:val="20"/>
              </w:rPr>
              <w:t>本年</w:t>
            </w:r>
            <w:r>
              <w:rPr>
                <w:rFonts w:hint="default" w:cs="Times New Roman"/>
                <w:color w:val="000000"/>
                <w:sz w:val="20"/>
              </w:rPr>
              <w:t>制发</w:t>
            </w:r>
            <w:r>
              <w:rPr>
                <w:rFonts w:hint="eastAsia" w:cs="Times New Roman"/>
                <w:color w:val="000000"/>
                <w:sz w:val="20"/>
              </w:rPr>
              <w:t>数量</w:t>
            </w:r>
          </w:p>
        </w:tc>
        <w:tc>
          <w:tcPr>
            <w:tcW w:w="1566" w:type="dxa"/>
            <w:tcBorders>
              <w:top w:val="single" w:color="auto" w:sz="4" w:space="0"/>
              <w:left w:val="nil"/>
              <w:bottom w:val="single" w:color="auto" w:sz="4" w:space="0"/>
              <w:right w:val="single" w:color="auto" w:sz="4" w:space="0"/>
            </w:tcBorders>
            <w:noWrap w:val="0"/>
            <w:vAlign w:val="center"/>
          </w:tcPr>
          <w:p>
            <w:pPr>
              <w:jc w:val="center"/>
              <w:rPr>
                <w:rFonts w:ascii="宋体" w:hAnsi="宋体" w:cs="Times New Roman"/>
                <w:color w:val="333333"/>
                <w:sz w:val="24"/>
              </w:rPr>
            </w:pPr>
            <w:r>
              <w:rPr>
                <w:rFonts w:hint="eastAsia" w:cs="Times New Roman"/>
                <w:color w:val="000000"/>
                <w:sz w:val="20"/>
              </w:rPr>
              <w:t>本年</w:t>
            </w:r>
            <w:r>
              <w:rPr>
                <w:rFonts w:hint="default" w:cs="Times New Roman"/>
                <w:color w:val="000000"/>
                <w:sz w:val="20"/>
              </w:rPr>
              <w:t>废止</w:t>
            </w:r>
            <w:r>
              <w:rPr>
                <w:rFonts w:hint="eastAsia" w:cs="Times New Roman"/>
                <w:color w:val="000000"/>
                <w:sz w:val="20"/>
              </w:rPr>
              <w:t>数量</w:t>
            </w:r>
          </w:p>
        </w:tc>
        <w:tc>
          <w:tcPr>
            <w:tcW w:w="1881" w:type="dxa"/>
            <w:tcBorders>
              <w:top w:val="nil"/>
              <w:left w:val="nil"/>
              <w:bottom w:val="single" w:color="auto" w:sz="4" w:space="0"/>
              <w:right w:val="single" w:color="auto" w:sz="4" w:space="0"/>
            </w:tcBorders>
            <w:noWrap w:val="0"/>
            <w:vAlign w:val="center"/>
          </w:tcPr>
          <w:p>
            <w:pPr>
              <w:spacing w:before="100" w:beforeAutospacing="1" w:after="100" w:afterAutospacing="1"/>
              <w:jc w:val="center"/>
              <w:rPr>
                <w:rFonts w:ascii="宋体" w:hAnsi="宋体" w:cs="Times New Roman"/>
                <w:color w:val="333333"/>
                <w:sz w:val="24"/>
              </w:rPr>
            </w:pPr>
            <w:r>
              <w:rPr>
                <w:rFonts w:hint="default" w:cs="Times New Roman"/>
                <w:color w:val="000000"/>
                <w:sz w:val="20"/>
              </w:rPr>
              <w:t>现行有效件数</w:t>
            </w:r>
          </w:p>
        </w:tc>
      </w:tr>
      <w:tr>
        <w:tblPrEx>
          <w:tblCellMar>
            <w:top w:w="0" w:type="dxa"/>
            <w:left w:w="108" w:type="dxa"/>
            <w:bottom w:w="0" w:type="dxa"/>
            <w:right w:w="108" w:type="dxa"/>
          </w:tblCellMar>
        </w:tblPrEx>
        <w:trPr>
          <w:trHeight w:val="397" w:hRule="atLeast"/>
          <w:jc w:val="center"/>
        </w:trPr>
        <w:tc>
          <w:tcPr>
            <w:tcW w:w="2857" w:type="dxa"/>
            <w:tcBorders>
              <w:top w:val="nil"/>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Times New Roman"/>
                <w:color w:val="333333"/>
                <w:sz w:val="24"/>
              </w:rPr>
            </w:pPr>
            <w:r>
              <w:rPr>
                <w:rFonts w:hint="eastAsia" w:cs="Times New Roman"/>
                <w:color w:val="000000"/>
                <w:sz w:val="20"/>
              </w:rPr>
              <w:t>规章</w:t>
            </w:r>
          </w:p>
        </w:tc>
        <w:tc>
          <w:tcPr>
            <w:tcW w:w="211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rPr>
                <w:rFonts w:ascii="宋体" w:hAnsi="宋体" w:cs="Times New Roman"/>
                <w:color w:val="333333"/>
                <w:sz w:val="24"/>
              </w:rPr>
            </w:pPr>
          </w:p>
        </w:tc>
        <w:tc>
          <w:tcPr>
            <w:tcW w:w="156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rPr>
                <w:rFonts w:ascii="宋体" w:hAnsi="宋体" w:cs="Times New Roman"/>
                <w:color w:val="333333"/>
                <w:sz w:val="24"/>
              </w:rPr>
            </w:pPr>
          </w:p>
        </w:tc>
        <w:tc>
          <w:tcPr>
            <w:tcW w:w="1881" w:type="dxa"/>
            <w:tcBorders>
              <w:top w:val="nil"/>
              <w:left w:val="nil"/>
              <w:bottom w:val="single" w:color="auto" w:sz="4" w:space="0"/>
              <w:right w:val="single" w:color="auto" w:sz="4" w:space="0"/>
            </w:tcBorders>
            <w:noWrap w:val="0"/>
            <w:vAlign w:val="center"/>
          </w:tcPr>
          <w:p>
            <w:pPr>
              <w:spacing w:before="100" w:beforeAutospacing="1" w:after="100" w:afterAutospacing="1"/>
              <w:rPr>
                <w:rFonts w:ascii="宋体" w:hAnsi="宋体" w:cs="Times New Roman"/>
                <w:color w:val="333333"/>
                <w:sz w:val="24"/>
              </w:rPr>
            </w:pPr>
          </w:p>
        </w:tc>
      </w:tr>
      <w:tr>
        <w:tblPrEx>
          <w:tblCellMar>
            <w:top w:w="0" w:type="dxa"/>
            <w:left w:w="108" w:type="dxa"/>
            <w:bottom w:w="0" w:type="dxa"/>
            <w:right w:w="108" w:type="dxa"/>
          </w:tblCellMar>
        </w:tblPrEx>
        <w:trPr>
          <w:trHeight w:val="397" w:hRule="atLeast"/>
          <w:jc w:val="center"/>
        </w:trPr>
        <w:tc>
          <w:tcPr>
            <w:tcW w:w="2857" w:type="dxa"/>
            <w:tcBorders>
              <w:top w:val="nil"/>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Times New Roman"/>
                <w:color w:val="333333"/>
                <w:sz w:val="24"/>
              </w:rPr>
            </w:pPr>
            <w:r>
              <w:rPr>
                <w:rFonts w:hint="eastAsia" w:cs="Times New Roman"/>
                <w:color w:val="000000"/>
                <w:sz w:val="20"/>
              </w:rPr>
              <w:t>规范性文件</w:t>
            </w:r>
          </w:p>
        </w:tc>
        <w:tc>
          <w:tcPr>
            <w:tcW w:w="2110" w:type="dxa"/>
            <w:tcBorders>
              <w:top w:val="nil"/>
              <w:left w:val="nil"/>
              <w:bottom w:val="single" w:color="auto" w:sz="4" w:space="0"/>
              <w:right w:val="single" w:color="auto" w:sz="4" w:space="0"/>
            </w:tcBorders>
            <w:noWrap w:val="0"/>
            <w:vAlign w:val="center"/>
          </w:tcPr>
          <w:p>
            <w:pPr>
              <w:spacing w:before="100" w:beforeAutospacing="1" w:after="100" w:afterAutospacing="1"/>
              <w:rPr>
                <w:rFonts w:ascii="宋体" w:hAnsi="宋体" w:cs="Times New Roman"/>
                <w:color w:val="333333"/>
                <w:sz w:val="24"/>
              </w:rPr>
            </w:pPr>
          </w:p>
        </w:tc>
        <w:tc>
          <w:tcPr>
            <w:tcW w:w="1566" w:type="dxa"/>
            <w:tcBorders>
              <w:top w:val="nil"/>
              <w:left w:val="nil"/>
              <w:bottom w:val="single" w:color="auto" w:sz="4" w:space="0"/>
              <w:right w:val="single" w:color="auto" w:sz="4" w:space="0"/>
            </w:tcBorders>
            <w:noWrap w:val="0"/>
            <w:vAlign w:val="center"/>
          </w:tcPr>
          <w:p>
            <w:pPr>
              <w:spacing w:before="100" w:beforeAutospacing="1" w:after="100" w:afterAutospacing="1"/>
              <w:rPr>
                <w:rFonts w:ascii="宋体" w:hAnsi="宋体" w:cs="Times New Roman"/>
                <w:color w:val="333333"/>
                <w:sz w:val="24"/>
              </w:rPr>
            </w:pPr>
          </w:p>
        </w:tc>
        <w:tc>
          <w:tcPr>
            <w:tcW w:w="1881" w:type="dxa"/>
            <w:tcBorders>
              <w:top w:val="nil"/>
              <w:left w:val="nil"/>
              <w:bottom w:val="single" w:color="auto" w:sz="4" w:space="0"/>
              <w:right w:val="single" w:color="auto" w:sz="4" w:space="0"/>
            </w:tcBorders>
            <w:noWrap w:val="0"/>
            <w:vAlign w:val="center"/>
          </w:tcPr>
          <w:p>
            <w:pPr>
              <w:spacing w:before="100" w:beforeAutospacing="1" w:after="100" w:afterAutospacing="1"/>
              <w:rPr>
                <w:rFonts w:ascii="宋体" w:hAnsi="宋体" w:cs="Times New Roman"/>
                <w:color w:val="333333"/>
                <w:sz w:val="24"/>
              </w:rPr>
            </w:pPr>
          </w:p>
        </w:tc>
      </w:tr>
      <w:tr>
        <w:tblPrEx>
          <w:tblCellMar>
            <w:top w:w="0" w:type="dxa"/>
            <w:left w:w="108" w:type="dxa"/>
            <w:bottom w:w="0" w:type="dxa"/>
            <w:right w:w="108" w:type="dxa"/>
          </w:tblCellMar>
        </w:tblPrEx>
        <w:trPr>
          <w:trHeight w:val="397" w:hRule="atLeast"/>
          <w:jc w:val="center"/>
        </w:trPr>
        <w:tc>
          <w:tcPr>
            <w:tcW w:w="841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Times New Roman"/>
                <w:color w:val="333333"/>
                <w:sz w:val="24"/>
              </w:rPr>
            </w:pPr>
            <w:r>
              <w:rPr>
                <w:rFonts w:hint="eastAsia" w:cs="Times New Roman"/>
                <w:color w:val="000000"/>
                <w:sz w:val="20"/>
              </w:rPr>
              <w:t>第二十条第（五）项</w:t>
            </w:r>
          </w:p>
        </w:tc>
      </w:tr>
      <w:tr>
        <w:tblPrEx>
          <w:tblCellMar>
            <w:top w:w="0" w:type="dxa"/>
            <w:left w:w="108" w:type="dxa"/>
            <w:bottom w:w="0" w:type="dxa"/>
            <w:right w:w="108" w:type="dxa"/>
          </w:tblCellMar>
        </w:tblPrEx>
        <w:trPr>
          <w:trHeight w:val="397" w:hRule="atLeast"/>
          <w:jc w:val="center"/>
        </w:trPr>
        <w:tc>
          <w:tcPr>
            <w:tcW w:w="2857" w:type="dxa"/>
            <w:tcBorders>
              <w:top w:val="nil"/>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Times New Roman"/>
                <w:color w:val="333333"/>
                <w:sz w:val="24"/>
              </w:rPr>
            </w:pPr>
            <w:r>
              <w:rPr>
                <w:rFonts w:hint="eastAsia" w:cs="Times New Roman"/>
                <w:color w:val="000000"/>
                <w:sz w:val="20"/>
              </w:rPr>
              <w:t>信息内容</w:t>
            </w:r>
          </w:p>
        </w:tc>
        <w:tc>
          <w:tcPr>
            <w:tcW w:w="5557" w:type="dxa"/>
            <w:gridSpan w:val="3"/>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ascii="宋体" w:hAnsi="宋体" w:cs="Times New Roman"/>
                <w:color w:val="333333"/>
                <w:sz w:val="24"/>
              </w:rPr>
            </w:pPr>
            <w:r>
              <w:rPr>
                <w:rFonts w:hint="default" w:cs="Times New Roman"/>
                <w:color w:val="000000"/>
                <w:sz w:val="20"/>
              </w:rPr>
              <w:t>本年处理决定</w:t>
            </w:r>
            <w:r>
              <w:rPr>
                <w:rFonts w:hint="eastAsia" w:cs="Times New Roman"/>
                <w:color w:val="000000"/>
                <w:sz w:val="20"/>
              </w:rPr>
              <w:t>数量</w:t>
            </w:r>
          </w:p>
        </w:tc>
      </w:tr>
      <w:tr>
        <w:tblPrEx>
          <w:tblCellMar>
            <w:top w:w="0" w:type="dxa"/>
            <w:left w:w="108" w:type="dxa"/>
            <w:bottom w:w="0" w:type="dxa"/>
            <w:right w:w="108" w:type="dxa"/>
          </w:tblCellMar>
        </w:tblPrEx>
        <w:trPr>
          <w:trHeight w:val="397" w:hRule="atLeast"/>
          <w:jc w:val="center"/>
        </w:trPr>
        <w:tc>
          <w:tcPr>
            <w:tcW w:w="2857" w:type="dxa"/>
            <w:tcBorders>
              <w:top w:val="nil"/>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Times New Roman"/>
                <w:color w:val="333333"/>
                <w:sz w:val="24"/>
              </w:rPr>
            </w:pPr>
            <w:r>
              <w:rPr>
                <w:rFonts w:hint="eastAsia" w:cs="Times New Roman"/>
                <w:color w:val="000000"/>
                <w:sz w:val="20"/>
              </w:rPr>
              <w:t>行政许可</w:t>
            </w:r>
          </w:p>
        </w:tc>
        <w:tc>
          <w:tcPr>
            <w:tcW w:w="5557" w:type="dxa"/>
            <w:gridSpan w:val="3"/>
            <w:tcBorders>
              <w:top w:val="nil"/>
              <w:left w:val="nil"/>
              <w:bottom w:val="single" w:color="auto" w:sz="4" w:space="0"/>
              <w:right w:val="single" w:color="auto" w:sz="4" w:space="0"/>
            </w:tcBorders>
            <w:noWrap w:val="0"/>
            <w:vAlign w:val="center"/>
          </w:tcPr>
          <w:p>
            <w:pPr>
              <w:spacing w:before="100" w:beforeAutospacing="1" w:after="100" w:afterAutospacing="1"/>
              <w:rPr>
                <w:rFonts w:hint="default" w:ascii="宋体" w:hAnsi="宋体" w:eastAsia="宋体" w:cs="Times New Roman"/>
                <w:color w:val="333333"/>
                <w:sz w:val="24"/>
                <w:lang w:val="en-US" w:eastAsia="zh-CN"/>
              </w:rPr>
            </w:pPr>
            <w:r>
              <w:rPr>
                <w:rFonts w:hint="eastAsia" w:ascii="宋体" w:hAnsi="宋体" w:cs="Times New Roman"/>
                <w:color w:val="333333"/>
                <w:sz w:val="24"/>
                <w:lang w:val="en-US" w:eastAsia="zh-CN"/>
              </w:rPr>
              <w:t>248</w:t>
            </w:r>
          </w:p>
        </w:tc>
      </w:tr>
      <w:tr>
        <w:tblPrEx>
          <w:tblCellMar>
            <w:top w:w="0" w:type="dxa"/>
            <w:left w:w="108" w:type="dxa"/>
            <w:bottom w:w="0" w:type="dxa"/>
            <w:right w:w="108" w:type="dxa"/>
          </w:tblCellMar>
        </w:tblPrEx>
        <w:trPr>
          <w:trHeight w:val="397" w:hRule="atLeast"/>
          <w:jc w:val="center"/>
        </w:trPr>
        <w:tc>
          <w:tcPr>
            <w:tcW w:w="841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Times New Roman"/>
                <w:color w:val="333333"/>
                <w:sz w:val="24"/>
              </w:rPr>
            </w:pPr>
            <w:r>
              <w:rPr>
                <w:rFonts w:hint="eastAsia" w:cs="Times New Roman"/>
                <w:color w:val="000000"/>
                <w:sz w:val="20"/>
              </w:rPr>
              <w:t>第二十条第（六）项</w:t>
            </w:r>
          </w:p>
        </w:tc>
      </w:tr>
      <w:tr>
        <w:tblPrEx>
          <w:tblCellMar>
            <w:top w:w="0" w:type="dxa"/>
            <w:left w:w="108" w:type="dxa"/>
            <w:bottom w:w="0" w:type="dxa"/>
            <w:right w:w="108" w:type="dxa"/>
          </w:tblCellMar>
        </w:tblPrEx>
        <w:trPr>
          <w:trHeight w:val="397" w:hRule="atLeast"/>
          <w:jc w:val="center"/>
        </w:trPr>
        <w:tc>
          <w:tcPr>
            <w:tcW w:w="2857" w:type="dxa"/>
            <w:tcBorders>
              <w:top w:val="nil"/>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Times New Roman"/>
                <w:color w:val="333333"/>
                <w:sz w:val="24"/>
              </w:rPr>
            </w:pPr>
            <w:r>
              <w:rPr>
                <w:rFonts w:hint="eastAsia" w:cs="Times New Roman"/>
                <w:color w:val="000000"/>
                <w:sz w:val="20"/>
              </w:rPr>
              <w:t>信息内容</w:t>
            </w:r>
          </w:p>
        </w:tc>
        <w:tc>
          <w:tcPr>
            <w:tcW w:w="5557" w:type="dxa"/>
            <w:gridSpan w:val="3"/>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ascii="宋体" w:hAnsi="宋体" w:cs="Times New Roman"/>
                <w:color w:val="333333"/>
                <w:sz w:val="24"/>
              </w:rPr>
            </w:pPr>
            <w:r>
              <w:rPr>
                <w:rFonts w:hint="eastAsia" w:cs="Times New Roman"/>
                <w:color w:val="000000"/>
                <w:sz w:val="20"/>
              </w:rPr>
              <w:t>本年处理决定数量</w:t>
            </w:r>
          </w:p>
        </w:tc>
      </w:tr>
      <w:tr>
        <w:tblPrEx>
          <w:tblCellMar>
            <w:top w:w="0" w:type="dxa"/>
            <w:left w:w="108" w:type="dxa"/>
            <w:bottom w:w="0" w:type="dxa"/>
            <w:right w:w="108" w:type="dxa"/>
          </w:tblCellMar>
        </w:tblPrEx>
        <w:trPr>
          <w:trHeight w:val="397" w:hRule="atLeast"/>
          <w:jc w:val="center"/>
        </w:trPr>
        <w:tc>
          <w:tcPr>
            <w:tcW w:w="2857" w:type="dxa"/>
            <w:tcBorders>
              <w:top w:val="nil"/>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Times New Roman"/>
                <w:color w:val="333333"/>
                <w:sz w:val="24"/>
              </w:rPr>
            </w:pPr>
            <w:r>
              <w:rPr>
                <w:rFonts w:hint="eastAsia" w:cs="Times New Roman"/>
                <w:color w:val="000000"/>
                <w:sz w:val="20"/>
              </w:rPr>
              <w:t>行政处罚</w:t>
            </w:r>
          </w:p>
        </w:tc>
        <w:tc>
          <w:tcPr>
            <w:tcW w:w="5557" w:type="dxa"/>
            <w:gridSpan w:val="3"/>
            <w:tcBorders>
              <w:top w:val="single" w:color="auto" w:sz="4" w:space="0"/>
              <w:left w:val="nil"/>
              <w:bottom w:val="single" w:color="auto" w:sz="4" w:space="0"/>
              <w:right w:val="single" w:color="auto" w:sz="4" w:space="0"/>
            </w:tcBorders>
            <w:noWrap w:val="0"/>
            <w:vAlign w:val="center"/>
          </w:tcPr>
          <w:p>
            <w:pPr>
              <w:spacing w:before="100" w:beforeAutospacing="1" w:after="100" w:afterAutospacing="1"/>
              <w:rPr>
                <w:rFonts w:hint="eastAsia" w:ascii="宋体" w:hAnsi="宋体" w:eastAsia="宋体" w:cs="Times New Roman"/>
                <w:color w:val="333333"/>
                <w:sz w:val="24"/>
                <w:lang w:val="en-US" w:eastAsia="zh-CN"/>
              </w:rPr>
            </w:pPr>
            <w:r>
              <w:rPr>
                <w:rFonts w:hint="eastAsia" w:ascii="宋体" w:hAnsi="宋体" w:cs="Times New Roman"/>
                <w:color w:val="333333"/>
                <w:sz w:val="24"/>
                <w:lang w:val="en-US" w:eastAsia="zh-CN"/>
              </w:rPr>
              <w:t>3</w:t>
            </w:r>
          </w:p>
        </w:tc>
      </w:tr>
      <w:tr>
        <w:tblPrEx>
          <w:tblCellMar>
            <w:top w:w="0" w:type="dxa"/>
            <w:left w:w="108" w:type="dxa"/>
            <w:bottom w:w="0" w:type="dxa"/>
            <w:right w:w="108" w:type="dxa"/>
          </w:tblCellMar>
        </w:tblPrEx>
        <w:trPr>
          <w:trHeight w:val="397" w:hRule="atLeast"/>
          <w:jc w:val="center"/>
        </w:trPr>
        <w:tc>
          <w:tcPr>
            <w:tcW w:w="2857" w:type="dxa"/>
            <w:tcBorders>
              <w:top w:val="nil"/>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Times New Roman"/>
                <w:color w:val="333333"/>
                <w:sz w:val="24"/>
              </w:rPr>
            </w:pPr>
            <w:r>
              <w:rPr>
                <w:rFonts w:hint="eastAsia" w:cs="Times New Roman"/>
                <w:color w:val="000000"/>
                <w:sz w:val="20"/>
              </w:rPr>
              <w:t>行政强制</w:t>
            </w:r>
          </w:p>
        </w:tc>
        <w:tc>
          <w:tcPr>
            <w:tcW w:w="5557" w:type="dxa"/>
            <w:gridSpan w:val="3"/>
            <w:tcBorders>
              <w:top w:val="nil"/>
              <w:left w:val="nil"/>
              <w:bottom w:val="single" w:color="auto" w:sz="4" w:space="0"/>
              <w:right w:val="single" w:color="auto" w:sz="4" w:space="0"/>
            </w:tcBorders>
            <w:noWrap w:val="0"/>
            <w:vAlign w:val="center"/>
          </w:tcPr>
          <w:p>
            <w:pPr>
              <w:spacing w:before="100" w:beforeAutospacing="1" w:after="100" w:afterAutospacing="1"/>
              <w:rPr>
                <w:rFonts w:ascii="宋体" w:hAnsi="宋体" w:cs="Times New Roman"/>
                <w:color w:val="333333"/>
                <w:sz w:val="24"/>
              </w:rPr>
            </w:pPr>
          </w:p>
        </w:tc>
      </w:tr>
      <w:tr>
        <w:tblPrEx>
          <w:tblCellMar>
            <w:top w:w="0" w:type="dxa"/>
            <w:left w:w="108" w:type="dxa"/>
            <w:bottom w:w="0" w:type="dxa"/>
            <w:right w:w="108" w:type="dxa"/>
          </w:tblCellMar>
        </w:tblPrEx>
        <w:trPr>
          <w:trHeight w:val="397" w:hRule="atLeast"/>
          <w:jc w:val="center"/>
        </w:trPr>
        <w:tc>
          <w:tcPr>
            <w:tcW w:w="8414"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Times New Roman"/>
                <w:color w:val="333333"/>
                <w:sz w:val="24"/>
              </w:rPr>
            </w:pPr>
            <w:r>
              <w:rPr>
                <w:rFonts w:hint="eastAsia" w:cs="Times New Roman"/>
                <w:color w:val="000000"/>
                <w:sz w:val="20"/>
              </w:rPr>
              <w:t>第二十条第（八）项</w:t>
            </w:r>
          </w:p>
        </w:tc>
      </w:tr>
      <w:tr>
        <w:tblPrEx>
          <w:tblCellMar>
            <w:top w:w="0" w:type="dxa"/>
            <w:left w:w="108" w:type="dxa"/>
            <w:bottom w:w="0" w:type="dxa"/>
            <w:right w:w="108" w:type="dxa"/>
          </w:tblCellMar>
        </w:tblPrEx>
        <w:trPr>
          <w:trHeight w:val="397" w:hRule="atLeast"/>
          <w:jc w:val="center"/>
        </w:trPr>
        <w:tc>
          <w:tcPr>
            <w:tcW w:w="2857" w:type="dxa"/>
            <w:tcBorders>
              <w:top w:val="nil"/>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Times New Roman"/>
                <w:color w:val="333333"/>
                <w:sz w:val="24"/>
              </w:rPr>
            </w:pPr>
            <w:r>
              <w:rPr>
                <w:rFonts w:hint="eastAsia" w:cs="Times New Roman"/>
                <w:color w:val="000000"/>
                <w:sz w:val="20"/>
              </w:rPr>
              <w:t>信息内容</w:t>
            </w:r>
          </w:p>
        </w:tc>
        <w:tc>
          <w:tcPr>
            <w:tcW w:w="5557" w:type="dxa"/>
            <w:gridSpan w:val="3"/>
            <w:tcBorders>
              <w:top w:val="nil"/>
              <w:left w:val="nil"/>
              <w:bottom w:val="single" w:color="auto" w:sz="4" w:space="0"/>
              <w:right w:val="single" w:color="000000" w:sz="4" w:space="0"/>
            </w:tcBorders>
            <w:noWrap w:val="0"/>
            <w:vAlign w:val="center"/>
          </w:tcPr>
          <w:p>
            <w:pPr>
              <w:spacing w:before="100" w:beforeAutospacing="1" w:after="100" w:afterAutospacing="1"/>
              <w:jc w:val="center"/>
              <w:rPr>
                <w:rFonts w:hint="default" w:ascii="宋体" w:hAnsi="宋体" w:cs="Times New Roman"/>
                <w:color w:val="333333"/>
                <w:sz w:val="24"/>
              </w:rPr>
            </w:pPr>
            <w:r>
              <w:rPr>
                <w:rFonts w:hint="eastAsia" w:cs="Times New Roman"/>
                <w:color w:val="000000"/>
                <w:sz w:val="20"/>
              </w:rPr>
              <w:t>本年</w:t>
            </w:r>
            <w:r>
              <w:rPr>
                <w:rFonts w:hint="default" w:cs="Times New Roman"/>
                <w:color w:val="000000"/>
                <w:sz w:val="20"/>
              </w:rPr>
              <w:t>收费金额（单位：万元）</w:t>
            </w:r>
          </w:p>
        </w:tc>
      </w:tr>
      <w:tr>
        <w:tblPrEx>
          <w:tblCellMar>
            <w:top w:w="0" w:type="dxa"/>
            <w:left w:w="108" w:type="dxa"/>
            <w:bottom w:w="0" w:type="dxa"/>
            <w:right w:w="108" w:type="dxa"/>
          </w:tblCellMar>
        </w:tblPrEx>
        <w:trPr>
          <w:trHeight w:val="397" w:hRule="atLeast"/>
          <w:jc w:val="center"/>
        </w:trPr>
        <w:tc>
          <w:tcPr>
            <w:tcW w:w="2857" w:type="dxa"/>
            <w:tcBorders>
              <w:top w:val="nil"/>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cs="Times New Roman"/>
                <w:color w:val="333333"/>
                <w:sz w:val="24"/>
              </w:rPr>
            </w:pPr>
            <w:r>
              <w:rPr>
                <w:rFonts w:hint="eastAsia" w:cs="Times New Roman"/>
                <w:color w:val="000000"/>
                <w:sz w:val="20"/>
              </w:rPr>
              <w:t>行政事业性收费</w:t>
            </w:r>
          </w:p>
        </w:tc>
        <w:tc>
          <w:tcPr>
            <w:tcW w:w="5557" w:type="dxa"/>
            <w:gridSpan w:val="3"/>
            <w:tcBorders>
              <w:top w:val="nil"/>
              <w:left w:val="nil"/>
              <w:bottom w:val="single" w:color="auto" w:sz="4" w:space="0"/>
              <w:right w:val="single" w:color="000000" w:sz="4" w:space="0"/>
            </w:tcBorders>
            <w:noWrap w:val="0"/>
            <w:vAlign w:val="center"/>
          </w:tcPr>
          <w:p>
            <w:pPr>
              <w:spacing w:before="100" w:beforeAutospacing="1" w:after="100" w:afterAutospacing="1"/>
              <w:jc w:val="center"/>
              <w:rPr>
                <w:rFonts w:ascii="宋体" w:hAnsi="宋体" w:cs="Times New Roman"/>
                <w:color w:val="333333"/>
                <w:sz w:val="24"/>
              </w:rPr>
            </w:pPr>
          </w:p>
        </w:tc>
      </w:tr>
    </w:tbl>
    <w:p>
      <w:pPr>
        <w:spacing w:line="400" w:lineRule="exact"/>
        <w:ind w:firstLine="402" w:firstLineChars="200"/>
        <w:rPr>
          <w:rFonts w:hint="eastAsia" w:ascii="宋体" w:hAnsi="宋体" w:cs="Times New Roman"/>
          <w:sz w:val="20"/>
        </w:rPr>
      </w:pPr>
      <w:r>
        <w:rPr>
          <w:rFonts w:hint="eastAsia" w:ascii="宋体" w:hAnsi="宋体" w:cs="Times New Roman"/>
          <w:b/>
          <w:bCs/>
          <w:sz w:val="20"/>
        </w:rPr>
        <w:t>注：</w:t>
      </w:r>
      <w:r>
        <w:rPr>
          <w:rFonts w:hint="eastAsia" w:ascii="宋体" w:hAnsi="宋体" w:cs="Times New Roman"/>
          <w:sz w:val="20"/>
        </w:rPr>
        <w:t>1.在填写时，请注意和法律部门、具有行政许可事项和行政处罚事项部门沟通，确保数据准确。</w:t>
      </w:r>
    </w:p>
    <w:p>
      <w:pPr>
        <w:spacing w:line="400" w:lineRule="exact"/>
        <w:ind w:firstLine="400" w:firstLineChars="200"/>
        <w:rPr>
          <w:rFonts w:hint="eastAsia" w:ascii="宋体" w:hAnsi="宋体" w:cs="Times New Roman"/>
          <w:sz w:val="20"/>
        </w:rPr>
      </w:pPr>
      <w:r>
        <w:rPr>
          <w:rFonts w:hint="eastAsia" w:ascii="宋体" w:hAnsi="宋体" w:cs="Times New Roman"/>
          <w:sz w:val="20"/>
        </w:rPr>
        <w:t>2.“本年</w:t>
      </w:r>
      <w:r>
        <w:rPr>
          <w:rFonts w:hint="default" w:ascii="宋体" w:hAnsi="宋体" w:cs="Times New Roman"/>
          <w:sz w:val="20"/>
        </w:rPr>
        <w:t>制发</w:t>
      </w:r>
      <w:r>
        <w:rPr>
          <w:rFonts w:hint="eastAsia" w:ascii="宋体" w:hAnsi="宋体" w:cs="Times New Roman"/>
          <w:sz w:val="20"/>
        </w:rPr>
        <w:t>数量”统计本年新制作并公开的数量，不含往年制作但在本年公开数。</w:t>
      </w:r>
    </w:p>
    <w:p>
      <w:pPr>
        <w:spacing w:before="156" w:beforeLines="50" w:after="156" w:afterLines="50"/>
        <w:ind w:firstLine="640" w:firstLineChars="200"/>
        <w:rPr>
          <w:rFonts w:hint="eastAsia" w:ascii="黑体" w:hAnsi="黑体" w:eastAsia="黑体" w:cs="Times New Roman"/>
          <w:sz w:val="32"/>
        </w:rPr>
      </w:pPr>
      <w:r>
        <w:rPr>
          <w:rFonts w:hint="eastAsia" w:ascii="黑体" w:hAnsi="黑体" w:eastAsia="黑体" w:cs="Times New Roman"/>
          <w:sz w:val="32"/>
        </w:rPr>
        <w:t>三、收到和处理政府信息公开申请情况</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0"/>
        <w:gridCol w:w="855"/>
        <w:gridCol w:w="2900"/>
        <w:gridCol w:w="409"/>
        <w:gridCol w:w="681"/>
        <w:gridCol w:w="655"/>
        <w:gridCol w:w="832"/>
        <w:gridCol w:w="823"/>
        <w:gridCol w:w="411"/>
        <w:gridCol w:w="4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9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r>
              <w:rPr>
                <w:rFonts w:hint="eastAsia" w:ascii="宋体" w:hAnsi="宋体" w:cs="Times New Roman"/>
                <w:color w:val="333333"/>
                <w:sz w:val="20"/>
              </w:rPr>
              <w:t>（本列数据的勾稽关系为：第一项加第二项之和，等于第三项加第四项之和）</w:t>
            </w:r>
          </w:p>
        </w:tc>
        <w:tc>
          <w:tcPr>
            <w:tcW w:w="4276" w:type="dxa"/>
            <w:gridSpan w:val="7"/>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r>
              <w:rPr>
                <w:rFonts w:hint="eastAsia" w:ascii="宋体" w:hAnsi="宋体" w:cs="Times New Roman"/>
                <w:color w:val="333333"/>
                <w:sz w:val="20"/>
              </w:rPr>
              <w:t>申请人情况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9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0"/>
              </w:rPr>
            </w:pPr>
          </w:p>
        </w:tc>
        <w:tc>
          <w:tcPr>
            <w:tcW w:w="409" w:type="dxa"/>
            <w:vMerge w:val="restart"/>
            <w:tcBorders>
              <w:top w:val="nil"/>
              <w:left w:val="nil"/>
              <w:bottom w:val="single" w:color="auto" w:sz="4" w:space="0"/>
              <w:right w:val="single" w:color="auto" w:sz="4" w:space="0"/>
            </w:tcBorders>
            <w:noWrap w:val="0"/>
            <w:vAlign w:val="center"/>
          </w:tcPr>
          <w:p>
            <w:pPr>
              <w:spacing w:before="100" w:beforeAutospacing="1" w:after="100" w:afterAutospacing="1" w:line="320" w:lineRule="exact"/>
              <w:jc w:val="center"/>
              <w:rPr>
                <w:rFonts w:ascii="宋体" w:hAnsi="宋体" w:cs="Times New Roman"/>
                <w:color w:val="333333"/>
                <w:sz w:val="20"/>
              </w:rPr>
            </w:pPr>
            <w:r>
              <w:rPr>
                <w:rFonts w:hint="eastAsia" w:ascii="宋体" w:hAnsi="宋体" w:cs="Times New Roman"/>
                <w:color w:val="333333"/>
                <w:sz w:val="20"/>
              </w:rPr>
              <w:t>自然人</w:t>
            </w:r>
          </w:p>
        </w:tc>
        <w:tc>
          <w:tcPr>
            <w:tcW w:w="3402" w:type="dxa"/>
            <w:gridSpan w:val="5"/>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20" w:lineRule="exact"/>
              <w:jc w:val="center"/>
              <w:rPr>
                <w:rFonts w:ascii="宋体" w:hAnsi="宋体" w:cs="Times New Roman"/>
                <w:color w:val="333333"/>
                <w:sz w:val="20"/>
              </w:rPr>
            </w:pPr>
            <w:r>
              <w:rPr>
                <w:rFonts w:hint="eastAsia" w:ascii="宋体" w:hAnsi="宋体" w:cs="Times New Roman"/>
                <w:color w:val="333333"/>
                <w:sz w:val="20"/>
              </w:rPr>
              <w:t>法人或其他组织</w:t>
            </w:r>
          </w:p>
        </w:tc>
        <w:tc>
          <w:tcPr>
            <w:tcW w:w="465" w:type="dxa"/>
            <w:vMerge w:val="restart"/>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r>
              <w:rPr>
                <w:rFonts w:hint="eastAsia" w:ascii="宋体" w:hAnsi="宋体" w:cs="Times New Roman"/>
                <w:color w:val="333333"/>
                <w:sz w:val="20"/>
              </w:rPr>
              <w:t>总计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9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0"/>
              </w:rPr>
            </w:pPr>
          </w:p>
        </w:tc>
        <w:tc>
          <w:tcPr>
            <w:tcW w:w="409" w:type="dxa"/>
            <w:vMerge w:val="continue"/>
            <w:tcBorders>
              <w:top w:val="nil"/>
              <w:left w:val="nil"/>
              <w:bottom w:val="single" w:color="auto" w:sz="4" w:space="0"/>
              <w:right w:val="single" w:color="auto" w:sz="4" w:space="0"/>
            </w:tcBorders>
            <w:noWrap w:val="0"/>
            <w:vAlign w:val="center"/>
          </w:tcPr>
          <w:p>
            <w:pPr>
              <w:spacing w:line="320" w:lineRule="exact"/>
              <w:rPr>
                <w:rFonts w:ascii="宋体" w:hAnsi="宋体" w:cs="Times New Roman"/>
                <w:color w:val="333333"/>
                <w:sz w:val="20"/>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20" w:lineRule="exact"/>
              <w:jc w:val="center"/>
              <w:rPr>
                <w:rFonts w:ascii="宋体" w:hAnsi="宋体" w:cs="Times New Roman"/>
                <w:color w:val="333333"/>
                <w:sz w:val="20"/>
              </w:rPr>
            </w:pPr>
            <w:r>
              <w:rPr>
                <w:rFonts w:hint="eastAsia" w:ascii="宋体" w:hAnsi="宋体" w:cs="Times New Roman"/>
                <w:color w:val="333333"/>
                <w:sz w:val="20"/>
              </w:rPr>
              <w:t>商业企业</w:t>
            </w: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20" w:lineRule="exact"/>
              <w:jc w:val="center"/>
              <w:rPr>
                <w:rFonts w:ascii="宋体" w:hAnsi="宋体" w:cs="Times New Roman"/>
                <w:color w:val="333333"/>
                <w:sz w:val="20"/>
              </w:rPr>
            </w:pPr>
            <w:r>
              <w:rPr>
                <w:rFonts w:hint="eastAsia" w:ascii="宋体" w:hAnsi="宋体" w:cs="Times New Roman"/>
                <w:color w:val="333333"/>
                <w:sz w:val="20"/>
              </w:rPr>
              <w:t>科研机构</w:t>
            </w: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20" w:lineRule="exact"/>
              <w:jc w:val="center"/>
              <w:rPr>
                <w:rFonts w:ascii="宋体" w:hAnsi="宋体" w:cs="Times New Roman"/>
                <w:color w:val="333333"/>
                <w:sz w:val="20"/>
              </w:rPr>
            </w:pPr>
            <w:r>
              <w:rPr>
                <w:rFonts w:hint="eastAsia" w:ascii="宋体" w:hAnsi="宋体" w:cs="Times New Roman"/>
                <w:color w:val="333333"/>
                <w:sz w:val="20"/>
              </w:rPr>
              <w:t>社会公益组织</w:t>
            </w: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20" w:lineRule="exact"/>
              <w:jc w:val="center"/>
              <w:rPr>
                <w:rFonts w:ascii="宋体" w:hAnsi="宋体" w:cs="Times New Roman"/>
                <w:color w:val="333333"/>
                <w:sz w:val="20"/>
              </w:rPr>
            </w:pPr>
            <w:r>
              <w:rPr>
                <w:rFonts w:hint="eastAsia" w:ascii="宋体" w:hAnsi="宋体" w:cs="Times New Roman"/>
                <w:color w:val="333333"/>
                <w:sz w:val="20"/>
              </w:rPr>
              <w:t>法律服务机构</w:t>
            </w: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20" w:lineRule="exact"/>
              <w:jc w:val="center"/>
              <w:rPr>
                <w:rFonts w:ascii="宋体" w:hAnsi="宋体" w:cs="Times New Roman"/>
                <w:color w:val="333333"/>
                <w:sz w:val="20"/>
              </w:rPr>
            </w:pPr>
            <w:r>
              <w:rPr>
                <w:rFonts w:hint="eastAsia" w:ascii="宋体" w:hAnsi="宋体" w:cs="Times New Roman"/>
                <w:color w:val="333333"/>
                <w:sz w:val="20"/>
              </w:rPr>
              <w:t>其他</w:t>
            </w:r>
          </w:p>
        </w:tc>
        <w:tc>
          <w:tcPr>
            <w:tcW w:w="465"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cs="Times New Roman"/>
                <w:color w:val="333333"/>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95"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0"/>
              </w:rPr>
            </w:pPr>
            <w:r>
              <w:rPr>
                <w:rFonts w:hint="eastAsia" w:ascii="宋体" w:hAnsi="宋体" w:cs="Times New Roman"/>
                <w:color w:val="333333"/>
                <w:sz w:val="20"/>
              </w:rPr>
              <w:t>一、本年新收政府信息公开申请数量</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95"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0"/>
              </w:rPr>
            </w:pPr>
            <w:r>
              <w:rPr>
                <w:rFonts w:hint="eastAsia" w:ascii="宋体" w:hAnsi="宋体" w:cs="Times New Roman"/>
                <w:color w:val="333333"/>
                <w:sz w:val="20"/>
              </w:rPr>
              <w:t>二、上年结转政府信息公开申请数量</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restart"/>
            <w:tcBorders>
              <w:top w:val="nil"/>
              <w:left w:val="single" w:color="auto" w:sz="4" w:space="0"/>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r>
              <w:rPr>
                <w:rFonts w:hint="eastAsia" w:ascii="宋体" w:hAnsi="宋体" w:cs="Times New Roman"/>
                <w:color w:val="333333"/>
                <w:sz w:val="20"/>
              </w:rPr>
              <w:t>三、本年度办理结果</w:t>
            </w:r>
          </w:p>
        </w:tc>
        <w:tc>
          <w:tcPr>
            <w:tcW w:w="3755" w:type="dxa"/>
            <w:gridSpan w:val="2"/>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hint="eastAsia" w:ascii="宋体" w:hAnsi="宋体" w:eastAsia="宋体" w:cs="Times New Roman"/>
                <w:color w:val="333333"/>
                <w:sz w:val="20"/>
              </w:rPr>
              <w:t>（一）予以公开</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3755" w:type="dxa"/>
            <w:gridSpan w:val="2"/>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hint="eastAsia" w:ascii="宋体" w:hAnsi="宋体" w:eastAsia="宋体" w:cs="Times New Roman"/>
                <w:color w:val="333333"/>
                <w:sz w:val="20"/>
              </w:rPr>
              <w:t>（二）部分公开（区分处理的，只计这一情形，不计其他情形）</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restart"/>
            <w:tcBorders>
              <w:top w:val="nil"/>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hint="eastAsia" w:ascii="宋体" w:hAnsi="宋体" w:eastAsia="宋体" w:cs="Times New Roman"/>
                <w:color w:val="333333"/>
                <w:sz w:val="20"/>
              </w:rPr>
              <w:t>（三）不予公开</w:t>
            </w: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1.属于国家秘密</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2.其他法律行政法规禁止公开</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3.危及“三安全一稳定”</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4.保护第三方合法权益</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5.属于三类内部事务信息</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6.属于四类过程性信息</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7.属于行政执法案卷</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8.属于行政查询事项</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restart"/>
            <w:tcBorders>
              <w:top w:val="nil"/>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hint="eastAsia" w:ascii="宋体" w:hAnsi="宋体" w:eastAsia="宋体" w:cs="Times New Roman"/>
                <w:color w:val="333333"/>
                <w:sz w:val="20"/>
              </w:rPr>
              <w:t>（四）无法提供</w:t>
            </w: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1.本机关不掌握相关政府信息</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2.没有现成信息需要另行制作</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3.补正后申请内容仍不明确</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restart"/>
            <w:tcBorders>
              <w:top w:val="nil"/>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hint="eastAsia" w:ascii="宋体" w:hAnsi="宋体" w:eastAsia="宋体" w:cs="Times New Roman"/>
                <w:color w:val="333333"/>
                <w:sz w:val="20"/>
              </w:rPr>
              <w:t>（五）不予处理</w:t>
            </w: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1.信访举报投诉类申请</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2.重复申请</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3.要求提供公开出版物</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4.无正当理由大量反复申请</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continue"/>
            <w:tcBorders>
              <w:top w:val="nil"/>
              <w:left w:val="nil"/>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ascii="宋体" w:hAnsi="宋体" w:eastAsia="宋体" w:cs="Times New Roman"/>
                <w:color w:val="333333"/>
                <w:sz w:val="20"/>
              </w:rPr>
              <w:t>5.要求行政机关确认或重新出具已获取信息</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855" w:type="dxa"/>
            <w:vMerge w:val="restart"/>
            <w:tcBorders>
              <w:top w:val="single" w:color="auto" w:sz="4" w:space="0"/>
              <w:left w:val="nil"/>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hint="eastAsia" w:ascii="宋体" w:hAnsi="宋体" w:eastAsia="宋体" w:cs="Times New Roman"/>
                <w:color w:val="333333"/>
                <w:sz w:val="20"/>
              </w:rPr>
              <w:t>（六）其他处理</w:t>
            </w: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hint="default" w:ascii="宋体" w:hAnsi="宋体" w:eastAsia="宋体" w:cs="Times New Roman"/>
                <w:color w:val="333333"/>
                <w:sz w:val="20"/>
              </w:rPr>
            </w:pPr>
            <w:r>
              <w:rPr>
                <w:rFonts w:hint="default" w:ascii="宋体" w:hAnsi="宋体" w:eastAsia="宋体" w:cs="Times New Roman"/>
                <w:color w:val="333333"/>
                <w:sz w:val="20"/>
              </w:rPr>
              <w:t>1.申请人无正当理由逾期不补正、行政机关不再处理其政府信息公开申请</w:t>
            </w:r>
          </w:p>
        </w:tc>
        <w:tc>
          <w:tcPr>
            <w:tcW w:w="409" w:type="dxa"/>
            <w:vMerge w:val="restart"/>
            <w:tcBorders>
              <w:top w:val="single" w:color="auto" w:sz="4" w:space="0"/>
              <w:left w:val="nil"/>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vMerge w:val="restart"/>
            <w:tcBorders>
              <w:top w:val="single" w:color="auto" w:sz="4" w:space="0"/>
              <w:left w:val="nil"/>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vMerge w:val="restart"/>
            <w:tcBorders>
              <w:top w:val="single" w:color="auto" w:sz="4" w:space="0"/>
              <w:left w:val="nil"/>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vMerge w:val="restart"/>
            <w:tcBorders>
              <w:top w:val="single" w:color="auto" w:sz="4" w:space="0"/>
              <w:left w:val="nil"/>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vMerge w:val="restart"/>
            <w:tcBorders>
              <w:top w:val="single" w:color="auto" w:sz="4" w:space="0"/>
              <w:left w:val="nil"/>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vMerge w:val="restart"/>
            <w:tcBorders>
              <w:top w:val="single" w:color="auto" w:sz="4" w:space="0"/>
              <w:left w:val="nil"/>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vMerge w:val="restart"/>
            <w:tcBorders>
              <w:top w:val="single" w:color="auto" w:sz="4" w:space="0"/>
              <w:left w:val="nil"/>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cs="Times New Roman"/>
              </w:rPr>
            </w:pPr>
          </w:p>
        </w:tc>
        <w:tc>
          <w:tcPr>
            <w:tcW w:w="855" w:type="dxa"/>
            <w:vMerge w:val="continue"/>
            <w:tcBorders>
              <w:left w:val="nil"/>
              <w:right w:val="single" w:color="auto" w:sz="4" w:space="0"/>
            </w:tcBorders>
            <w:noWrap w:val="0"/>
            <w:vAlign w:val="center"/>
          </w:tcPr>
          <w:p>
            <w:pPr>
              <w:spacing w:before="100" w:beforeAutospacing="1" w:after="100" w:afterAutospacing="1" w:line="400" w:lineRule="exact"/>
              <w:rPr>
                <w:rFonts w:cs="Times New Roman"/>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hint="default" w:ascii="宋体" w:hAnsi="宋体" w:eastAsia="宋体" w:cs="Times New Roman"/>
                <w:color w:val="333333"/>
                <w:sz w:val="20"/>
              </w:rPr>
            </w:pPr>
            <w:r>
              <w:rPr>
                <w:rFonts w:hint="default" w:ascii="宋体" w:hAnsi="宋体" w:eastAsia="宋体" w:cs="Times New Roman"/>
                <w:color w:val="333333"/>
                <w:sz w:val="20"/>
              </w:rPr>
              <w:t>2.申请人逾期未按收费通知要求缴纳费用、行政机关不再处理其政府信息公开申请</w:t>
            </w:r>
          </w:p>
        </w:tc>
        <w:tc>
          <w:tcPr>
            <w:tcW w:w="409" w:type="dxa"/>
            <w:vMerge w:val="continue"/>
            <w:tcBorders>
              <w:left w:val="nil"/>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681" w:type="dxa"/>
            <w:vMerge w:val="continue"/>
            <w:tcBorders>
              <w:left w:val="nil"/>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655" w:type="dxa"/>
            <w:vMerge w:val="continue"/>
            <w:tcBorders>
              <w:left w:val="nil"/>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832" w:type="dxa"/>
            <w:vMerge w:val="continue"/>
            <w:tcBorders>
              <w:left w:val="nil"/>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823" w:type="dxa"/>
            <w:vMerge w:val="continue"/>
            <w:tcBorders>
              <w:left w:val="nil"/>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411" w:type="dxa"/>
            <w:vMerge w:val="continue"/>
            <w:tcBorders>
              <w:left w:val="nil"/>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465" w:type="dxa"/>
            <w:vMerge w:val="continue"/>
            <w:tcBorders>
              <w:left w:val="nil"/>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855" w:type="dxa"/>
            <w:vMerge w:val="continue"/>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290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hint="default" w:ascii="宋体" w:hAnsi="宋体" w:eastAsia="宋体" w:cs="Times New Roman"/>
                <w:color w:val="333333"/>
                <w:sz w:val="20"/>
              </w:rPr>
            </w:pPr>
            <w:r>
              <w:rPr>
                <w:rFonts w:hint="default" w:ascii="宋体" w:hAnsi="宋体" w:eastAsia="宋体" w:cs="Times New Roman"/>
                <w:color w:val="333333"/>
                <w:sz w:val="20"/>
              </w:rPr>
              <w:t>3.其他</w:t>
            </w:r>
          </w:p>
        </w:tc>
        <w:tc>
          <w:tcPr>
            <w:tcW w:w="409" w:type="dxa"/>
            <w:vMerge w:val="continue"/>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681" w:type="dxa"/>
            <w:vMerge w:val="continue"/>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655" w:type="dxa"/>
            <w:vMerge w:val="continue"/>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832" w:type="dxa"/>
            <w:vMerge w:val="continue"/>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823" w:type="dxa"/>
            <w:vMerge w:val="continue"/>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411" w:type="dxa"/>
            <w:vMerge w:val="continue"/>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c>
          <w:tcPr>
            <w:tcW w:w="465" w:type="dxa"/>
            <w:vMerge w:val="continue"/>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hint="eastAsia" w:ascii="宋体" w:hAnsi="宋体" w:eastAsia="宋体" w:cs="Times New Roman"/>
                <w:color w:val="333333"/>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 w:type="dxa"/>
            <w:vMerge w:val="continue"/>
            <w:tcBorders>
              <w:top w:val="nil"/>
              <w:left w:val="single" w:color="auto" w:sz="4" w:space="0"/>
              <w:bottom w:val="single" w:color="auto" w:sz="4" w:space="0"/>
              <w:right w:val="single" w:color="auto" w:sz="4" w:space="0"/>
            </w:tcBorders>
            <w:noWrap w:val="0"/>
            <w:vAlign w:val="center"/>
          </w:tcPr>
          <w:p>
            <w:pPr>
              <w:spacing w:line="400" w:lineRule="exact"/>
              <w:rPr>
                <w:rFonts w:ascii="宋体" w:hAnsi="宋体" w:cs="Times New Roman"/>
                <w:color w:val="333333"/>
                <w:sz w:val="24"/>
              </w:rPr>
            </w:pPr>
          </w:p>
        </w:tc>
        <w:tc>
          <w:tcPr>
            <w:tcW w:w="3755" w:type="dxa"/>
            <w:gridSpan w:val="2"/>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hint="eastAsia" w:ascii="宋体" w:hAnsi="宋体" w:eastAsia="宋体" w:cs="Times New Roman"/>
                <w:color w:val="333333"/>
                <w:sz w:val="20"/>
              </w:rPr>
              <w:t>（七）总计</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195"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rPr>
                <w:rFonts w:ascii="宋体" w:hAnsi="宋体" w:cs="Times New Roman"/>
                <w:color w:val="333333"/>
                <w:sz w:val="24"/>
              </w:rPr>
            </w:pPr>
            <w:r>
              <w:rPr>
                <w:rFonts w:hint="eastAsia" w:ascii="宋体" w:hAnsi="宋体" w:cs="Times New Roman"/>
                <w:color w:val="333333"/>
                <w:sz w:val="20"/>
              </w:rPr>
              <w:t>四、结转下年度继续办理</w:t>
            </w:r>
          </w:p>
        </w:tc>
        <w:tc>
          <w:tcPr>
            <w:tcW w:w="409"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8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32"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823"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11"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65"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cs="Times New Roman"/>
                <w:color w:val="333333"/>
                <w:sz w:val="19"/>
                <w:szCs w:val="19"/>
              </w:rPr>
            </w:pPr>
          </w:p>
        </w:tc>
      </w:tr>
    </w:tbl>
    <w:p>
      <w:pPr>
        <w:spacing w:line="400" w:lineRule="exact"/>
        <w:ind w:firstLine="402" w:firstLineChars="200"/>
        <w:rPr>
          <w:rFonts w:hint="eastAsia" w:ascii="宋体" w:hAnsi="宋体" w:cs="Times New Roman"/>
          <w:sz w:val="20"/>
        </w:rPr>
      </w:pPr>
      <w:r>
        <w:rPr>
          <w:rFonts w:hint="eastAsia" w:ascii="宋体" w:hAnsi="宋体" w:cs="Times New Roman"/>
          <w:b/>
          <w:bCs/>
          <w:sz w:val="20"/>
        </w:rPr>
        <w:t>注：</w:t>
      </w:r>
      <w:r>
        <w:rPr>
          <w:rFonts w:hint="eastAsia" w:ascii="宋体" w:hAnsi="宋体" w:cs="Times New Roman"/>
          <w:sz w:val="20"/>
        </w:rPr>
        <w:t>1.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t>
      </w:r>
    </w:p>
    <w:p>
      <w:pPr>
        <w:spacing w:line="400" w:lineRule="exact"/>
        <w:ind w:firstLine="400" w:firstLineChars="200"/>
        <w:rPr>
          <w:rFonts w:hint="eastAsia" w:ascii="宋体" w:hAnsi="宋体" w:cs="Times New Roman"/>
          <w:sz w:val="20"/>
        </w:rPr>
      </w:pPr>
      <w:r>
        <w:rPr>
          <w:rFonts w:hint="eastAsia" w:ascii="宋体" w:hAnsi="宋体" w:cs="Times New Roman"/>
          <w:sz w:val="20"/>
        </w:rPr>
        <w:t>2.“其他处理”项目，主要是考虑新旧条例执行衔接以及极少数特殊情况。原则上，所有的政府信息公开申请，都应当按照法定的处理方式做出处理。</w:t>
      </w:r>
    </w:p>
    <w:p>
      <w:pPr>
        <w:spacing w:after="156" w:afterLines="50"/>
        <w:ind w:firstLine="640" w:firstLineChars="200"/>
        <w:rPr>
          <w:rFonts w:cs="Times New Roman"/>
          <w:color w:val="333333"/>
          <w:sz w:val="22"/>
          <w:szCs w:val="22"/>
        </w:rPr>
      </w:pPr>
      <w:r>
        <w:rPr>
          <w:rFonts w:hint="eastAsia" w:ascii="黑体" w:hAnsi="黑体" w:eastAsia="黑体" w:cs="Times New Roman"/>
          <w:sz w:val="32"/>
        </w:rPr>
        <w:t>四、政府信息公开行政复议、行政诉讼情况</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7"/>
        <w:gridCol w:w="555"/>
        <w:gridCol w:w="510"/>
        <w:gridCol w:w="495"/>
        <w:gridCol w:w="480"/>
        <w:gridCol w:w="44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17" w:type="dxa"/>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行政复议</w:t>
            </w:r>
          </w:p>
        </w:tc>
        <w:tc>
          <w:tcPr>
            <w:tcW w:w="5887" w:type="dxa"/>
            <w:gridSpan w:val="10"/>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行政诉讼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577" w:type="dxa"/>
            <w:vMerge w:val="restart"/>
            <w:tcBorders>
              <w:top w:val="nil"/>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结果维持</w:t>
            </w:r>
          </w:p>
        </w:tc>
        <w:tc>
          <w:tcPr>
            <w:tcW w:w="555" w:type="dxa"/>
            <w:vMerge w:val="restart"/>
            <w:tcBorders>
              <w:top w:val="nil"/>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结果纠正</w:t>
            </w:r>
          </w:p>
        </w:tc>
        <w:tc>
          <w:tcPr>
            <w:tcW w:w="510" w:type="dxa"/>
            <w:vMerge w:val="restart"/>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其他结果</w:t>
            </w:r>
          </w:p>
        </w:tc>
        <w:tc>
          <w:tcPr>
            <w:tcW w:w="495" w:type="dxa"/>
            <w:vMerge w:val="restart"/>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尚未审结</w:t>
            </w:r>
          </w:p>
        </w:tc>
        <w:tc>
          <w:tcPr>
            <w:tcW w:w="480" w:type="dxa"/>
            <w:vMerge w:val="restart"/>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总计</w:t>
            </w:r>
          </w:p>
        </w:tc>
        <w:tc>
          <w:tcPr>
            <w:tcW w:w="2860" w:type="dxa"/>
            <w:gridSpan w:val="5"/>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未经复议直接起诉</w:t>
            </w:r>
          </w:p>
        </w:tc>
        <w:tc>
          <w:tcPr>
            <w:tcW w:w="3027" w:type="dxa"/>
            <w:gridSpan w:val="5"/>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复议后起诉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7" w:type="dxa"/>
            <w:vMerge w:val="continue"/>
            <w:tcBorders>
              <w:top w:val="nil"/>
              <w:left w:val="single" w:color="auto" w:sz="4" w:space="0"/>
              <w:bottom w:val="single" w:color="auto" w:sz="4" w:space="0"/>
              <w:right w:val="single" w:color="auto" w:sz="4" w:space="0"/>
            </w:tcBorders>
            <w:noWrap w:val="0"/>
            <w:vAlign w:val="center"/>
          </w:tcPr>
          <w:p>
            <w:pPr>
              <w:spacing w:line="360" w:lineRule="exact"/>
              <w:rPr>
                <w:rFonts w:ascii="宋体" w:hAnsi="宋体" w:cs="Times New Roman"/>
                <w:color w:val="333333"/>
                <w:sz w:val="24"/>
              </w:rPr>
            </w:pPr>
          </w:p>
        </w:tc>
        <w:tc>
          <w:tcPr>
            <w:tcW w:w="555" w:type="dxa"/>
            <w:vMerge w:val="continue"/>
            <w:tcBorders>
              <w:top w:val="nil"/>
              <w:left w:val="nil"/>
              <w:bottom w:val="single" w:color="auto" w:sz="4" w:space="0"/>
              <w:right w:val="single" w:color="auto" w:sz="4" w:space="0"/>
            </w:tcBorders>
            <w:noWrap w:val="0"/>
            <w:vAlign w:val="center"/>
          </w:tcPr>
          <w:p>
            <w:pPr>
              <w:spacing w:line="360" w:lineRule="exact"/>
              <w:rPr>
                <w:rFonts w:ascii="宋体" w:hAnsi="宋体" w:cs="Times New Roman"/>
                <w:color w:val="333333"/>
                <w:sz w:val="24"/>
              </w:rPr>
            </w:pPr>
          </w:p>
        </w:tc>
        <w:tc>
          <w:tcPr>
            <w:tcW w:w="510" w:type="dxa"/>
            <w:vMerge w:val="continue"/>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Times New Roman"/>
                <w:color w:val="333333"/>
                <w:sz w:val="24"/>
              </w:rPr>
            </w:pPr>
          </w:p>
        </w:tc>
        <w:tc>
          <w:tcPr>
            <w:tcW w:w="495" w:type="dxa"/>
            <w:vMerge w:val="continue"/>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Times New Roman"/>
                <w:color w:val="333333"/>
                <w:sz w:val="24"/>
              </w:rPr>
            </w:pPr>
          </w:p>
        </w:tc>
        <w:tc>
          <w:tcPr>
            <w:tcW w:w="480" w:type="dxa"/>
            <w:vMerge w:val="continue"/>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Times New Roman"/>
                <w:color w:val="333333"/>
                <w:sz w:val="24"/>
              </w:rPr>
            </w:pPr>
          </w:p>
        </w:tc>
        <w:tc>
          <w:tcPr>
            <w:tcW w:w="44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结果维持</w:t>
            </w: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结果纠正</w:t>
            </w: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其他结果</w:t>
            </w: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尚未审结</w:t>
            </w: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cs="Times New Roman"/>
                <w:color w:val="000000"/>
                <w:sz w:val="20"/>
              </w:rPr>
              <w:t>总计</w:t>
            </w: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结果维持</w:t>
            </w: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结果纠正</w:t>
            </w: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cs="Times New Roman"/>
                <w:color w:val="000000"/>
                <w:sz w:val="20"/>
              </w:rPr>
              <w:t>其他结果</w:t>
            </w:r>
          </w:p>
        </w:tc>
        <w:tc>
          <w:tcPr>
            <w:tcW w:w="60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ascii="Calibri" w:hAnsi="Calibri" w:cs="Times New Roman"/>
                <w:color w:val="333333"/>
                <w:sz w:val="20"/>
              </w:rPr>
              <w:t>尚未审结</w:t>
            </w:r>
          </w:p>
        </w:tc>
        <w:tc>
          <w:tcPr>
            <w:tcW w:w="60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360" w:lineRule="exact"/>
              <w:jc w:val="center"/>
              <w:rPr>
                <w:rFonts w:ascii="宋体" w:hAnsi="宋体" w:cs="Times New Roman"/>
                <w:color w:val="333333"/>
                <w:sz w:val="24"/>
              </w:rPr>
            </w:pPr>
            <w:r>
              <w:rPr>
                <w:rFonts w:hint="eastAsia" w:cs="Times New Roman"/>
                <w:color w:val="000000"/>
                <w:sz w:val="20"/>
              </w:rPr>
              <w:t>总计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57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55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51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9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8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440"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05"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0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line="400" w:lineRule="exact"/>
              <w:jc w:val="center"/>
              <w:rPr>
                <w:rFonts w:ascii="宋体" w:hAnsi="宋体" w:cs="Times New Roman"/>
                <w:color w:val="333333"/>
                <w:sz w:val="24"/>
              </w:rPr>
            </w:pPr>
          </w:p>
        </w:tc>
        <w:tc>
          <w:tcPr>
            <w:tcW w:w="606"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cs="Times New Roman"/>
                <w:color w:val="333333"/>
                <w:sz w:val="19"/>
                <w:szCs w:val="19"/>
              </w:rPr>
            </w:pPr>
          </w:p>
        </w:tc>
      </w:tr>
    </w:tbl>
    <w:p>
      <w:pPr>
        <w:spacing w:line="400" w:lineRule="exact"/>
        <w:ind w:firstLine="402" w:firstLineChars="200"/>
        <w:rPr>
          <w:rFonts w:hint="eastAsia" w:ascii="宋体" w:hAnsi="宋体" w:cs="Times New Roman"/>
          <w:sz w:val="20"/>
        </w:rPr>
      </w:pPr>
      <w:r>
        <w:rPr>
          <w:rFonts w:hint="eastAsia" w:ascii="宋体" w:hAnsi="宋体" w:cs="Times New Roman"/>
          <w:b/>
          <w:bCs/>
          <w:sz w:val="20"/>
        </w:rPr>
        <w:t>注：</w:t>
      </w:r>
      <w:r>
        <w:rPr>
          <w:rFonts w:hint="eastAsia" w:ascii="宋体" w:hAnsi="宋体" w:cs="Times New Roman"/>
          <w:sz w:val="20"/>
        </w:rPr>
        <w:t>1.根据行政复议法和行政诉讼法有关规定，行政诉讼处理结果需进一步区分两类情形，分别是“未经复议直接起诉”和“复议后起诉”。</w:t>
      </w:r>
    </w:p>
    <w:p>
      <w:pPr>
        <w:spacing w:line="400" w:lineRule="exact"/>
        <w:ind w:firstLine="400" w:firstLineChars="200"/>
        <w:rPr>
          <w:rFonts w:hint="eastAsia" w:ascii="宋体" w:hAnsi="宋体" w:cs="Times New Roman"/>
          <w:sz w:val="20"/>
        </w:rPr>
      </w:pPr>
      <w:r>
        <w:rPr>
          <w:rFonts w:hint="eastAsia" w:ascii="宋体" w:hAnsi="宋体" w:cs="Times New Roman"/>
          <w:sz w:val="20"/>
        </w:rPr>
        <w:t>2.行政复议机关作为共同被告的行政诉讼案件，只计算原行为主体的案件数量，不计算行政复议机关的案件数量。</w:t>
      </w:r>
    </w:p>
    <w:p>
      <w:pPr>
        <w:spacing w:before="156" w:beforeLines="50" w:after="156" w:afterLines="50"/>
        <w:ind w:firstLine="640" w:firstLineChars="200"/>
        <w:rPr>
          <w:rFonts w:hint="eastAsia" w:ascii="黑体" w:hAnsi="黑体" w:eastAsia="黑体"/>
          <w:sz w:val="32"/>
        </w:rPr>
      </w:pPr>
      <w:r>
        <w:rPr>
          <w:rFonts w:hint="eastAsia" w:ascii="黑体" w:hAnsi="黑体" w:eastAsia="黑体"/>
          <w:sz w:val="32"/>
        </w:rPr>
        <w:t>五、存在的主要问题及改进情况</w:t>
      </w:r>
    </w:p>
    <w:p>
      <w:pPr>
        <w:spacing w:before="156" w:beforeLines="50" w:after="156" w:afterLines="50"/>
        <w:ind w:firstLine="640" w:firstLineChars="200"/>
        <w:rPr>
          <w:rFonts w:hint="eastAsia" w:ascii="仿宋_GB2312" w:hAnsi="仿宋_GB2312" w:eastAsia="仿宋_GB2312"/>
          <w:sz w:val="32"/>
        </w:rPr>
      </w:pPr>
      <w:r>
        <w:rPr>
          <w:rFonts w:hint="eastAsia" w:ascii="仿宋_GB2312" w:hAnsi="仿宋_GB2312" w:eastAsia="仿宋_GB2312"/>
          <w:sz w:val="32"/>
        </w:rPr>
        <w:t>202</w:t>
      </w:r>
      <w:r>
        <w:rPr>
          <w:rFonts w:hint="eastAsia" w:ascii="仿宋_GB2312" w:hAnsi="仿宋_GB2312" w:eastAsia="仿宋_GB2312"/>
          <w:sz w:val="32"/>
          <w:lang w:val="en-US" w:eastAsia="zh-CN"/>
        </w:rPr>
        <w:t>2</w:t>
      </w:r>
      <w:r>
        <w:rPr>
          <w:rFonts w:hint="eastAsia" w:ascii="仿宋_GB2312" w:hAnsi="仿宋_GB2312" w:eastAsia="仿宋_GB2312"/>
          <w:sz w:val="32"/>
        </w:rPr>
        <w:t>年国家外汇管理局镇江市中心支局政府信息公开工作取得了一定成效，但在规范化管理以及公开方式等方面还有待进一步加强。下一步，将加大政府信息公开工作机制建设，严格按照《中华人民共和国政府信息公开条例》规定，加强内部管理，规范信息公开操作规程，确保公开信息及时、完整、准确。紧密结合外汇管理职能，将政府信息公开工作与外汇业务政策宣传相结合，不断探索工作新机制、新方法，确保依法、合规、及时公开政府信息，有力提升外汇部门法治建设。充分运用和丰富信息公开的载体和平台，畅通依法获取政府信息的渠道，为各类主体及时获取政府信息提供保障，提高社会公众对外汇管理的认知度。</w:t>
      </w:r>
    </w:p>
    <w:p>
      <w:pPr>
        <w:spacing w:before="156" w:beforeLines="50" w:after="156" w:afterLines="50"/>
        <w:ind w:firstLine="640" w:firstLineChars="200"/>
        <w:rPr>
          <w:rFonts w:hint="eastAsia" w:ascii="黑体" w:hAnsi="黑体" w:eastAsia="黑体"/>
          <w:sz w:val="32"/>
        </w:rPr>
      </w:pPr>
      <w:r>
        <w:rPr>
          <w:rFonts w:hint="eastAsia" w:ascii="黑体" w:hAnsi="黑体" w:eastAsia="黑体"/>
          <w:sz w:val="32"/>
        </w:rPr>
        <w:t>六、其他需要报告的事项</w:t>
      </w:r>
    </w:p>
    <w:p>
      <w:pPr>
        <w:spacing w:line="560" w:lineRule="exact"/>
        <w:rPr>
          <w:rFonts w:hint="eastAsia" w:ascii="Times New Roman" w:hAnsi="Times New Roman" w:eastAsia="仿宋_GB2312"/>
          <w:sz w:val="30"/>
          <w:szCs w:val="30"/>
          <w:lang w:eastAsia="zh-CN"/>
        </w:rPr>
      </w:pPr>
      <w:r>
        <w:rPr>
          <w:rFonts w:hint="eastAsia" w:ascii="Times New Roman" w:hAnsi="Times New Roman" w:eastAsia="仿宋_GB2312"/>
          <w:sz w:val="30"/>
          <w:szCs w:val="30"/>
          <w:lang w:val="en-US" w:eastAsia="zh-CN"/>
        </w:rPr>
        <w:t xml:space="preserve">     </w:t>
      </w:r>
      <w:r>
        <w:rPr>
          <w:rFonts w:hint="eastAsia" w:ascii="仿宋_GB2312" w:hAnsi="仿宋_GB2312" w:eastAsia="仿宋_GB2312"/>
          <w:sz w:val="32"/>
          <w:lang w:eastAsia="zh-CN"/>
        </w:rPr>
        <w:t>无</w:t>
      </w:r>
    </w:p>
    <w:p>
      <w:pPr>
        <w:spacing w:line="560" w:lineRule="exact"/>
        <w:rPr>
          <w:rFonts w:hint="default" w:ascii="Times New Roman" w:hAnsi="Times New Roman" w:eastAsia="仿宋_GB2312"/>
          <w:sz w:val="30"/>
          <w:szCs w:val="30"/>
          <w:lang w:val="en-US" w:eastAsia="zh-CN"/>
        </w:rPr>
      </w:pPr>
    </w:p>
    <w:p>
      <w:pPr>
        <w:spacing w:line="560" w:lineRule="exact"/>
        <w:rPr>
          <w:rFonts w:ascii="Times New Roman" w:hAnsi="Times New Roman" w:eastAsia="仿宋_GB2312"/>
          <w:sz w:val="30"/>
          <w:szCs w:val="30"/>
        </w:rPr>
      </w:pPr>
    </w:p>
    <w:p>
      <w:pPr>
        <w:spacing w:line="560" w:lineRule="exact"/>
        <w:rPr>
          <w:rFonts w:ascii="Times New Roman" w:hAnsi="Times New Roman" w:eastAsia="仿宋_GB2312"/>
          <w:sz w:val="30"/>
          <w:szCs w:val="30"/>
        </w:rPr>
      </w:pPr>
    </w:p>
    <w:p>
      <w:pPr>
        <w:spacing w:line="560" w:lineRule="exact"/>
        <w:rPr>
          <w:rFonts w:ascii="Times New Roman" w:hAnsi="Times New Roman" w:eastAsia="仿宋_GB2312"/>
          <w:sz w:val="30"/>
          <w:szCs w:val="30"/>
        </w:rPr>
      </w:pPr>
    </w:p>
    <w:p>
      <w:pPr>
        <w:spacing w:line="560" w:lineRule="exact"/>
        <w:rPr>
          <w:rFonts w:ascii="Times New Roman" w:hAnsi="Times New Roman" w:eastAsia="仿宋_GB2312"/>
          <w:sz w:val="30"/>
          <w:szCs w:val="30"/>
        </w:rPr>
      </w:pPr>
    </w:p>
    <w:p>
      <w:pPr>
        <w:spacing w:line="560" w:lineRule="exact"/>
        <w:rPr>
          <w:rFonts w:ascii="Times New Roman" w:hAnsi="Times New Roman" w:eastAsia="仿宋_GB2312"/>
          <w:sz w:val="30"/>
          <w:szCs w:val="30"/>
        </w:rPr>
      </w:pPr>
    </w:p>
    <w:p>
      <w:pPr>
        <w:spacing w:line="560" w:lineRule="exact"/>
        <w:rPr>
          <w:rFonts w:ascii="Times New Roman" w:hAnsi="Times New Roman" w:eastAsia="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jNzAwNjU2MWM5MWUwNjdhODBhMzI0YTI5MjBhZTYifQ=="/>
  </w:docVars>
  <w:rsids>
    <w:rsidRoot w:val="17632DA8"/>
    <w:rsid w:val="0CD84E19"/>
    <w:rsid w:val="0EB304F1"/>
    <w:rsid w:val="151B2180"/>
    <w:rsid w:val="17632DA8"/>
    <w:rsid w:val="17854D1E"/>
    <w:rsid w:val="1D375689"/>
    <w:rsid w:val="1E5208FC"/>
    <w:rsid w:val="214B59B4"/>
    <w:rsid w:val="2C7249BE"/>
    <w:rsid w:val="495B681C"/>
    <w:rsid w:val="69E00FF3"/>
    <w:rsid w:val="6E241A9F"/>
    <w:rsid w:val="70357915"/>
    <w:rsid w:val="73817D3C"/>
    <w:rsid w:val="770B6F55"/>
    <w:rsid w:val="79CA7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2115</Words>
  <Characters>2201</Characters>
  <Lines>0</Lines>
  <Paragraphs>0</Paragraphs>
  <TotalTime>7</TotalTime>
  <ScaleCrop>false</ScaleCrop>
  <LinksUpToDate>false</LinksUpToDate>
  <CharactersWithSpaces>2206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2023-01-10T06:41:00Z</dcterms:created>
  <dc:creator>谢小瑾</dc:creator>
  <cp:lastModifiedBy>小蘑菇</cp:lastModifiedBy>
  <dcterms:modified xsi:type="dcterms:W3CDTF">2023-01-17T08:18:33Z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7FDDE9DB0A2B41CDAA3C043CC5B10132</vt:lpwstr>
  </property>
</Properties>
</file>